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D7B21" w:rsidRDefault="0025106C" w:rsidP="00F37D7B">
      <w:pPr>
        <w:pStyle w:val="af8"/>
        <w:rPr>
          <w:color w:val="000000" w:themeColor="text1"/>
        </w:rPr>
      </w:pPr>
      <w:r w:rsidRPr="007D7B21">
        <w:rPr>
          <w:rFonts w:hint="eastAsia"/>
          <w:color w:val="000000" w:themeColor="text1"/>
        </w:rPr>
        <w:t>糾正案文</w:t>
      </w:r>
    </w:p>
    <w:p w:rsidR="00E25849" w:rsidRPr="007D7B21" w:rsidRDefault="0025106C" w:rsidP="001F78BD">
      <w:pPr>
        <w:pStyle w:val="1"/>
        <w:spacing w:line="460" w:lineRule="exact"/>
        <w:rPr>
          <w:color w:val="000000" w:themeColor="text1"/>
        </w:rPr>
      </w:pPr>
      <w:r w:rsidRPr="007D7B21">
        <w:rPr>
          <w:rFonts w:hint="eastAsia"/>
          <w:color w:val="000000" w:themeColor="text1"/>
        </w:rPr>
        <w:t>被糾正機關：</w:t>
      </w:r>
      <w:r w:rsidR="00B70F07" w:rsidRPr="007D7B21">
        <w:rPr>
          <w:rFonts w:hint="eastAsia"/>
          <w:color w:val="000000" w:themeColor="text1"/>
        </w:rPr>
        <w:t>教育部</w:t>
      </w:r>
      <w:r w:rsidR="009F69CE" w:rsidRPr="007D7B21">
        <w:rPr>
          <w:rFonts w:hAnsi="標楷體"/>
          <w:color w:val="000000" w:themeColor="text1"/>
        </w:rPr>
        <w:t>。</w:t>
      </w:r>
    </w:p>
    <w:p w:rsidR="00DD6926" w:rsidRPr="007D7B21" w:rsidRDefault="0025106C" w:rsidP="006D5A13">
      <w:pPr>
        <w:pStyle w:val="1"/>
        <w:spacing w:line="440" w:lineRule="exact"/>
        <w:rPr>
          <w:color w:val="000000" w:themeColor="text1"/>
        </w:rPr>
      </w:pPr>
      <w:r w:rsidRPr="007D7B21">
        <w:rPr>
          <w:rFonts w:hint="eastAsia"/>
          <w:color w:val="000000" w:themeColor="text1"/>
        </w:rPr>
        <w:t>案　　　由：</w:t>
      </w:r>
      <w:r w:rsidR="00B70F07" w:rsidRPr="007D7B21">
        <w:rPr>
          <w:rFonts w:hint="eastAsia"/>
          <w:color w:val="000000" w:themeColor="text1"/>
        </w:rPr>
        <w:t>身心障礙者權益保障法自69年6月2日公布已逾42年，教育部推動校園無障礙政策迄今亦已3</w:t>
      </w:r>
      <w:r w:rsidR="00B70F07" w:rsidRPr="007D7B21">
        <w:rPr>
          <w:color w:val="000000" w:themeColor="text1"/>
        </w:rPr>
        <w:t>0</w:t>
      </w:r>
      <w:r w:rsidR="00B70F07" w:rsidRPr="007D7B21">
        <w:rPr>
          <w:rFonts w:hint="eastAsia"/>
          <w:color w:val="000000" w:themeColor="text1"/>
        </w:rPr>
        <w:t>餘年，惟當前校園無障礙設施改善成效亟待檢討，</w:t>
      </w:r>
      <w:r w:rsidR="006B1328" w:rsidRPr="007D7B21">
        <w:rPr>
          <w:rFonts w:hint="eastAsia"/>
          <w:color w:val="000000" w:themeColor="text1"/>
        </w:rPr>
        <w:t>且</w:t>
      </w:r>
      <w:r w:rsidR="00B70F07" w:rsidRPr="007D7B21">
        <w:rPr>
          <w:rFonts w:hint="eastAsia"/>
          <w:color w:val="000000" w:themeColor="text1"/>
        </w:rPr>
        <w:t>各校自行填報數據之正確性不足</w:t>
      </w:r>
      <w:r w:rsidR="006B1328" w:rsidRPr="007D7B21">
        <w:rPr>
          <w:rFonts w:hint="eastAsia"/>
          <w:color w:val="000000" w:themeColor="text1"/>
        </w:rPr>
        <w:t>，除</w:t>
      </w:r>
      <w:r w:rsidR="00B70F07" w:rsidRPr="007D7B21">
        <w:rPr>
          <w:rFonts w:hint="eastAsia"/>
          <w:color w:val="000000" w:themeColor="text1"/>
        </w:rPr>
        <w:t>未有覆核機制</w:t>
      </w:r>
      <w:r w:rsidR="006B1328" w:rsidRPr="007D7B21">
        <w:rPr>
          <w:rFonts w:hint="eastAsia"/>
          <w:color w:val="000000" w:themeColor="text1"/>
        </w:rPr>
        <w:t>外</w:t>
      </w:r>
      <w:r w:rsidR="00B70F07" w:rsidRPr="007D7B21">
        <w:rPr>
          <w:rFonts w:hint="eastAsia"/>
          <w:color w:val="000000" w:themeColor="text1"/>
        </w:rPr>
        <w:t>，基礎資料之盤點工作仍未盡健全，</w:t>
      </w:r>
      <w:bookmarkStart w:id="0" w:name="_Hlk111556546"/>
      <w:r w:rsidR="00B70F07" w:rsidRPr="007D7B21">
        <w:rPr>
          <w:rFonts w:hint="eastAsia"/>
          <w:color w:val="000000" w:themeColor="text1"/>
        </w:rPr>
        <w:t>教育部未能切實辦理無障礙設施改善及列管工作</w:t>
      </w:r>
      <w:bookmarkEnd w:id="0"/>
      <w:r w:rsidR="00F73F3E" w:rsidRPr="007D7B21">
        <w:rPr>
          <w:rFonts w:hint="eastAsia"/>
          <w:color w:val="000000" w:themeColor="text1"/>
        </w:rPr>
        <w:t>，與身心障礙者權利公約及我國憲法等相關規定意旨不符</w:t>
      </w:r>
      <w:r w:rsidR="00B70F07" w:rsidRPr="007D7B21">
        <w:rPr>
          <w:rFonts w:hint="eastAsia"/>
          <w:color w:val="000000" w:themeColor="text1"/>
        </w:rPr>
        <w:t>，均難辭監督與管理失當之責，</w:t>
      </w:r>
      <w:r w:rsidR="007773B5" w:rsidRPr="007D7B21">
        <w:rPr>
          <w:rFonts w:hint="eastAsia"/>
          <w:color w:val="000000" w:themeColor="text1"/>
        </w:rPr>
        <w:t>爰依法提案糾正。</w:t>
      </w:r>
    </w:p>
    <w:p w:rsidR="00E25849" w:rsidRPr="007D7B21" w:rsidRDefault="00DB3135" w:rsidP="001F78BD">
      <w:pPr>
        <w:pStyle w:val="1"/>
        <w:spacing w:line="460" w:lineRule="exact"/>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7D7B21">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52165" w:rsidRPr="007D7B21" w:rsidRDefault="002C37FF" w:rsidP="008625EF">
      <w:pPr>
        <w:pStyle w:val="15"/>
        <w:ind w:left="680" w:firstLine="680"/>
        <w:rPr>
          <w:color w:val="000000" w:themeColor="text1"/>
        </w:rPr>
      </w:pPr>
      <w:r w:rsidRPr="007D7B21">
        <w:rPr>
          <w:rFonts w:hint="eastAsia"/>
          <w:color w:val="000000" w:themeColor="text1"/>
        </w:rPr>
        <w:t>有鑑於身心障礙者權益保障法</w:t>
      </w:r>
      <w:r w:rsidRPr="007D7B21">
        <w:rPr>
          <w:rStyle w:val="aff4"/>
          <w:b/>
          <w:color w:val="000000" w:themeColor="text1"/>
        </w:rPr>
        <w:footnoteReference w:id="1"/>
      </w:r>
      <w:r w:rsidRPr="007D7B21">
        <w:rPr>
          <w:rFonts w:hint="eastAsia"/>
          <w:color w:val="000000" w:themeColor="text1"/>
        </w:rPr>
        <w:t>（下稱身權法）自69年6月2日公布迄今已逾42年，惟</w:t>
      </w:r>
      <w:r w:rsidRPr="007D7B21">
        <w:rPr>
          <w:rFonts w:hAnsi="標楷體" w:hint="eastAsia"/>
          <w:color w:val="000000" w:themeColor="text1"/>
        </w:rPr>
        <w:t>臺北市立木柵高級工業職業學校（下稱木柵高工）</w:t>
      </w:r>
      <w:r w:rsidRPr="007D7B21">
        <w:rPr>
          <w:rFonts w:hint="eastAsia"/>
          <w:color w:val="000000" w:themeColor="text1"/>
        </w:rPr>
        <w:t>、</w:t>
      </w:r>
      <w:r w:rsidRPr="007D7B21">
        <w:rPr>
          <w:rFonts w:hAnsi="標楷體" w:hint="eastAsia"/>
          <w:color w:val="000000" w:themeColor="text1"/>
        </w:rPr>
        <w:t>新北市立鶯歌國民中學（下稱鶯歌國中）</w:t>
      </w:r>
      <w:r w:rsidRPr="007D7B21">
        <w:rPr>
          <w:rFonts w:hint="eastAsia"/>
          <w:color w:val="000000" w:themeColor="text1"/>
        </w:rPr>
        <w:t>，於110年分別因校園無障礙設施不足，導致身障學生無法上司令臺接受表揚，或無障礙電梯未及於身心障礙學生入學前裝設完畢，導致學生被迫在安全措施不足的環境中攀爬樓梯，甚至被要求轉學、拒絕入學等嚴重影響身心障礙學生權益之情形。</w:t>
      </w:r>
      <w:r w:rsidRPr="007D7B21">
        <w:rPr>
          <w:color w:val="000000" w:themeColor="text1"/>
        </w:rPr>
        <w:t>案經調閱教育部、</w:t>
      </w:r>
      <w:r w:rsidRPr="007D7B21">
        <w:rPr>
          <w:rFonts w:hint="eastAsia"/>
          <w:color w:val="000000" w:themeColor="text1"/>
        </w:rPr>
        <w:t>內政部營建署、臺北市政府、新北市政府等機關</w:t>
      </w:r>
      <w:r w:rsidRPr="007D7B21">
        <w:rPr>
          <w:color w:val="000000" w:themeColor="text1"/>
        </w:rPr>
        <w:t>查復之卷證</w:t>
      </w:r>
      <w:r w:rsidRPr="007D7B21">
        <w:rPr>
          <w:rFonts w:hint="eastAsia"/>
          <w:color w:val="000000" w:themeColor="text1"/>
        </w:rPr>
        <w:t>資料</w:t>
      </w:r>
      <w:r w:rsidRPr="007D7B21">
        <w:rPr>
          <w:rFonts w:hAnsi="標楷體" w:hint="eastAsia"/>
          <w:color w:val="000000" w:themeColor="text1"/>
        </w:rPr>
        <w:t>，並於11</w:t>
      </w:r>
      <w:r w:rsidRPr="007D7B21">
        <w:rPr>
          <w:rFonts w:hAnsi="標楷體"/>
          <w:color w:val="000000" w:themeColor="text1"/>
        </w:rPr>
        <w:t>1</w:t>
      </w:r>
      <w:r w:rsidRPr="007D7B21">
        <w:rPr>
          <w:rFonts w:hAnsi="標楷體" w:hint="eastAsia"/>
          <w:color w:val="000000" w:themeColor="text1"/>
        </w:rPr>
        <w:t>年3月2日、4日履勘新北市鶯歌國中、臺北市木柵高工，嗣於同年4月1日詢問</w:t>
      </w:r>
      <w:r w:rsidRPr="007D7B21">
        <w:rPr>
          <w:rFonts w:hint="eastAsia"/>
          <w:color w:val="000000" w:themeColor="text1"/>
        </w:rPr>
        <w:t>教育部暨所屬國民及學前教育署（下稱國教署）</w:t>
      </w:r>
      <w:r w:rsidRPr="007D7B21">
        <w:rPr>
          <w:color w:val="000000" w:themeColor="text1"/>
        </w:rPr>
        <w:t>、</w:t>
      </w:r>
      <w:r w:rsidRPr="007D7B21">
        <w:rPr>
          <w:rFonts w:hint="eastAsia"/>
          <w:color w:val="000000" w:themeColor="text1"/>
        </w:rPr>
        <w:t>內政部營建署（下稱營建署）、臺北市政府、新北市政府業管主管及承辦人員，</w:t>
      </w:r>
      <w:r w:rsidR="00B52165" w:rsidRPr="007D7B21">
        <w:rPr>
          <w:rFonts w:hAnsi="標楷體" w:hint="eastAsia"/>
          <w:color w:val="000000" w:themeColor="text1"/>
        </w:rPr>
        <w:t>發現</w:t>
      </w:r>
      <w:r w:rsidRPr="007D7B21">
        <w:rPr>
          <w:rFonts w:hAnsi="標楷體" w:hint="eastAsia"/>
          <w:color w:val="000000" w:themeColor="text1"/>
        </w:rPr>
        <w:t>教育部未能切實辦理無障礙設施改善及列管工作</w:t>
      </w:r>
      <w:r w:rsidRPr="007D7B21">
        <w:rPr>
          <w:rFonts w:hint="eastAsia"/>
          <w:color w:val="000000" w:themeColor="text1"/>
        </w:rPr>
        <w:t>，各校自行填報數據之正確性不足且未有覆核機制，</w:t>
      </w:r>
      <w:r w:rsidRPr="007D7B21">
        <w:rPr>
          <w:rFonts w:hint="eastAsia"/>
          <w:color w:val="000000" w:themeColor="text1"/>
        </w:rPr>
        <w:lastRenderedPageBreak/>
        <w:t>基礎資料之盤點工作仍未盡健全，均有</w:t>
      </w:r>
      <w:r w:rsidR="00B52165" w:rsidRPr="007D7B21">
        <w:rPr>
          <w:rFonts w:hAnsi="標楷體" w:hint="eastAsia"/>
          <w:color w:val="000000" w:themeColor="text1"/>
        </w:rPr>
        <w:t>違失，糾正之事實與理由如下</w:t>
      </w:r>
      <w:r w:rsidR="00B52165" w:rsidRPr="007D7B21">
        <w:rPr>
          <w:rFonts w:hint="eastAsia"/>
          <w:color w:val="000000" w:themeColor="text1"/>
        </w:rPr>
        <w:t>：</w:t>
      </w:r>
    </w:p>
    <w:p w:rsidR="002C37FF" w:rsidRPr="007D7B21" w:rsidRDefault="00FF61F2" w:rsidP="002C37FF">
      <w:pPr>
        <w:pStyle w:val="15"/>
        <w:ind w:left="680" w:firstLine="681"/>
        <w:rPr>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7D7B21">
        <w:rPr>
          <w:rFonts w:hint="eastAsia"/>
          <w:b/>
          <w:color w:val="000000" w:themeColor="text1"/>
        </w:rPr>
        <w:t>身權法自69年6月2日公布已逾42年，教育部推動校園無障礙政策迄今3</w:t>
      </w:r>
      <w:r w:rsidRPr="007D7B21">
        <w:rPr>
          <w:b/>
          <w:color w:val="000000" w:themeColor="text1"/>
        </w:rPr>
        <w:t>0</w:t>
      </w:r>
      <w:r w:rsidRPr="007D7B21">
        <w:rPr>
          <w:rFonts w:hint="eastAsia"/>
          <w:b/>
          <w:color w:val="000000" w:themeColor="text1"/>
        </w:rPr>
        <w:t>餘年，截至</w:t>
      </w:r>
      <w:r w:rsidR="00A33FE2" w:rsidRPr="007D7B21">
        <w:rPr>
          <w:rFonts w:hint="eastAsia"/>
          <w:b/>
          <w:color w:val="000000" w:themeColor="text1"/>
        </w:rPr>
        <w:t>111年3月30日</w:t>
      </w:r>
      <w:r w:rsidRPr="007D7B21">
        <w:rPr>
          <w:rFonts w:hint="eastAsia"/>
          <w:b/>
          <w:color w:val="000000" w:themeColor="text1"/>
        </w:rPr>
        <w:t>之統計，「無障礙設施」、「無障礙電梯」及「無障礙停車位」，共計有</w:t>
      </w:r>
      <w:r w:rsidR="003D0202" w:rsidRPr="007D7B21">
        <w:rPr>
          <w:rFonts w:hint="eastAsia"/>
          <w:b/>
          <w:color w:val="000000" w:themeColor="text1"/>
        </w:rPr>
        <w:t>114,604</w:t>
      </w:r>
      <w:r w:rsidRPr="007D7B21">
        <w:rPr>
          <w:rFonts w:hint="eastAsia"/>
          <w:b/>
          <w:color w:val="000000" w:themeColor="text1"/>
        </w:rPr>
        <w:t>「處」應設置，15</w:t>
      </w:r>
      <w:r w:rsidRPr="007D7B21">
        <w:rPr>
          <w:b/>
          <w:color w:val="000000" w:themeColor="text1"/>
        </w:rPr>
        <w:t>,</w:t>
      </w:r>
      <w:r w:rsidRPr="007D7B21">
        <w:rPr>
          <w:rFonts w:hint="eastAsia"/>
          <w:b/>
          <w:color w:val="000000" w:themeColor="text1"/>
        </w:rPr>
        <w:t>074「處」需設置惟尚未設置，15</w:t>
      </w:r>
      <w:r w:rsidRPr="007D7B21">
        <w:rPr>
          <w:b/>
          <w:color w:val="000000" w:themeColor="text1"/>
        </w:rPr>
        <w:t>,</w:t>
      </w:r>
      <w:r w:rsidRPr="007D7B21">
        <w:rPr>
          <w:rFonts w:hint="eastAsia"/>
          <w:b/>
          <w:color w:val="000000" w:themeColor="text1"/>
        </w:rPr>
        <w:t>917「處」老舊或未符新規定待改善</w:t>
      </w:r>
      <w:bookmarkStart w:id="46" w:name="_Hlk113438196"/>
      <w:r w:rsidRPr="007D7B21">
        <w:rPr>
          <w:rFonts w:hint="eastAsia"/>
          <w:b/>
          <w:color w:val="000000" w:themeColor="text1"/>
        </w:rPr>
        <w:t>，不合格率2</w:t>
      </w:r>
      <w:r w:rsidRPr="007D7B21">
        <w:rPr>
          <w:b/>
          <w:color w:val="000000" w:themeColor="text1"/>
        </w:rPr>
        <w:t>7</w:t>
      </w:r>
      <w:r w:rsidRPr="007D7B21">
        <w:rPr>
          <w:rFonts w:hint="eastAsia"/>
          <w:b/>
          <w:color w:val="000000" w:themeColor="text1"/>
        </w:rPr>
        <w:t>％</w:t>
      </w:r>
      <w:bookmarkEnd w:id="46"/>
      <w:r w:rsidRPr="007D7B21">
        <w:rPr>
          <w:rFonts w:hint="eastAsia"/>
          <w:b/>
          <w:color w:val="000000" w:themeColor="text1"/>
        </w:rPr>
        <w:t>，改善成效亟待檢討。復上開統計資料係由各校自行於網路填報，</w:t>
      </w:r>
      <w:bookmarkStart w:id="47" w:name="_Hlk114498414"/>
      <w:r w:rsidRPr="007D7B21">
        <w:rPr>
          <w:rFonts w:hint="eastAsia"/>
          <w:b/>
          <w:color w:val="000000" w:themeColor="text1"/>
        </w:rPr>
        <w:t>直轄市、縣（市）政府</w:t>
      </w:r>
      <w:bookmarkEnd w:id="47"/>
      <w:r w:rsidRPr="007D7B21">
        <w:rPr>
          <w:rFonts w:hint="eastAsia"/>
          <w:b/>
          <w:color w:val="000000" w:themeColor="text1"/>
        </w:rPr>
        <w:t>除未有覆核機制及正確性不足外，亦有部分學校未落實填報，且以「處」為單位進行統計以美化改善成果，無法掌握現有符合無障礙規定之「學校數」，基礎資料之盤點工作仍未盡健全，且未能積極提出改善優先順序及改善計畫，均難辭監督與管理失當之責。教育部允應全面盤點有關預算及無障礙設施環境現況，建立專業輔導改善機制，確實督導該管直轄市、縣（市）政府及所屬學校，賡續積極辦理有關業務，除由目的事業主管機關據以論處未符規定之單位外，並積極爭取政府公共建設計畫，以符身心障礙者權利公約及我國憲法等相關規定</w:t>
      </w:r>
      <w:r w:rsidR="002C37FF" w:rsidRPr="007D7B21">
        <w:rPr>
          <w:rFonts w:hint="eastAsia"/>
          <w:b/>
          <w:color w:val="000000" w:themeColor="text1"/>
        </w:rPr>
        <w:t>：</w:t>
      </w:r>
    </w:p>
    <w:p w:rsidR="002C37FF" w:rsidRPr="007D7B21" w:rsidRDefault="0038528E" w:rsidP="002C37FF">
      <w:pPr>
        <w:pStyle w:val="2"/>
        <w:rPr>
          <w:color w:val="000000" w:themeColor="text1"/>
        </w:rPr>
      </w:pPr>
      <w:r w:rsidRPr="007D7B21">
        <w:rPr>
          <w:rFonts w:hAnsi="標楷體" w:hint="eastAsia"/>
          <w:color w:val="000000" w:themeColor="text1"/>
        </w:rPr>
        <w:t>按</w:t>
      </w:r>
      <w:r w:rsidRPr="007D7B21">
        <w:rPr>
          <w:rFonts w:hint="eastAsia"/>
          <w:color w:val="000000" w:themeColor="text1"/>
        </w:rPr>
        <w:t>身心障礙者權利公約施行法（公布日期1</w:t>
      </w:r>
      <w:r w:rsidRPr="007D7B21">
        <w:rPr>
          <w:color w:val="000000" w:themeColor="text1"/>
        </w:rPr>
        <w:t>03</w:t>
      </w:r>
      <w:r w:rsidRPr="007D7B21">
        <w:rPr>
          <w:rFonts w:hint="eastAsia"/>
          <w:color w:val="000000" w:themeColor="text1"/>
        </w:rPr>
        <w:t>年8月20日）具國內法律之效力，如國內法律不符國際公約規定者，應優先適用國際公約之規定，且對於</w:t>
      </w:r>
      <w:r w:rsidRPr="007D7B21">
        <w:rPr>
          <w:rFonts w:hAnsi="標楷體" w:hint="eastAsia"/>
          <w:color w:val="000000" w:themeColor="text1"/>
        </w:rPr>
        <w:t>校園無障礙環境均應予建構：</w:t>
      </w:r>
    </w:p>
    <w:p w:rsidR="002C37FF" w:rsidRPr="007D7B21" w:rsidRDefault="002C37FF" w:rsidP="002C37FF">
      <w:pPr>
        <w:pStyle w:val="3"/>
        <w:rPr>
          <w:rFonts w:hAnsi="標楷體"/>
          <w:color w:val="000000" w:themeColor="text1"/>
        </w:rPr>
      </w:pPr>
      <w:r w:rsidRPr="007D7B21">
        <w:rPr>
          <w:rFonts w:hint="eastAsia"/>
          <w:color w:val="000000" w:themeColor="text1"/>
        </w:rPr>
        <w:tab/>
        <w:t>身心障礙者權利公約</w:t>
      </w:r>
      <w:r w:rsidRPr="007D7B21">
        <w:rPr>
          <w:rStyle w:val="aff4"/>
          <w:color w:val="000000" w:themeColor="text1"/>
        </w:rPr>
        <w:footnoteReference w:id="2"/>
      </w:r>
      <w:r w:rsidRPr="007D7B21">
        <w:rPr>
          <w:rFonts w:hint="eastAsia"/>
          <w:color w:val="000000" w:themeColor="text1"/>
        </w:rPr>
        <w:t>（The Convention on the Rights of Persons with Disabilities，縮寫為CRPD）及其一般性意見：</w:t>
      </w:r>
    </w:p>
    <w:p w:rsidR="002C37FF" w:rsidRPr="007D7B21" w:rsidRDefault="002C37FF" w:rsidP="002C37FF">
      <w:pPr>
        <w:pStyle w:val="4"/>
        <w:rPr>
          <w:color w:val="000000" w:themeColor="text1"/>
        </w:rPr>
      </w:pPr>
      <w:r w:rsidRPr="007D7B21">
        <w:rPr>
          <w:rFonts w:hint="eastAsia"/>
          <w:color w:val="000000" w:themeColor="text1"/>
        </w:rPr>
        <w:lastRenderedPageBreak/>
        <w:t>第1條規定：</w:t>
      </w:r>
    </w:p>
    <w:p w:rsidR="002C37FF" w:rsidRPr="007D7B21" w:rsidRDefault="002C37FF" w:rsidP="002C37FF">
      <w:pPr>
        <w:pStyle w:val="5"/>
        <w:rPr>
          <w:color w:val="000000" w:themeColor="text1"/>
        </w:rPr>
      </w:pPr>
      <w:r w:rsidRPr="007D7B21">
        <w:rPr>
          <w:rFonts w:hint="eastAsia"/>
          <w:color w:val="000000" w:themeColor="text1"/>
        </w:rPr>
        <w:t>本公約宗旨係促進、保障與確保所有身心障礙者充分及平等享有所有人權及基本自由，並促進對身心障礙者固有尊嚴之尊重。身心障礙者包括肢體、精神、智力或感官長期損傷者，其損傷與各種障礙相互作用，可能阻礙身心障礙者與他人於平等基礎上充分有效參與社會。</w:t>
      </w:r>
    </w:p>
    <w:p w:rsidR="002C37FF" w:rsidRPr="007D7B21" w:rsidRDefault="002C37FF" w:rsidP="002C37FF">
      <w:pPr>
        <w:pStyle w:val="4"/>
        <w:rPr>
          <w:color w:val="000000" w:themeColor="text1"/>
        </w:rPr>
      </w:pPr>
      <w:r w:rsidRPr="007D7B21">
        <w:rPr>
          <w:rFonts w:hint="eastAsia"/>
          <w:color w:val="000000" w:themeColor="text1"/>
        </w:rPr>
        <w:t>第2條規定：</w:t>
      </w:r>
    </w:p>
    <w:p w:rsidR="002C37FF" w:rsidRPr="007D7B21" w:rsidRDefault="002C37FF" w:rsidP="002C37FF">
      <w:pPr>
        <w:pStyle w:val="5"/>
        <w:rPr>
          <w:color w:val="000000" w:themeColor="text1"/>
        </w:rPr>
      </w:pPr>
      <w:r w:rsidRPr="007D7B21">
        <w:rPr>
          <w:rFonts w:hint="eastAsia"/>
          <w:color w:val="000000" w:themeColor="text1"/>
        </w:rPr>
        <w:t>身心障礙之歧視：基於身心障礙而作出之任何區別、排斥或限制，其目的或效果損害或廢除在與其他人平等基礎上於政治、經濟、社會、文化、公民或任何其他領域，所有人權及基本自由之肯認、享有或行使。基於身心障礙之歧視包括所有形式之歧視，包括拒絕提供合理調整。</w:t>
      </w:r>
    </w:p>
    <w:p w:rsidR="002C37FF" w:rsidRPr="007D7B21" w:rsidRDefault="002C37FF" w:rsidP="002C37FF">
      <w:pPr>
        <w:pStyle w:val="4"/>
        <w:rPr>
          <w:color w:val="000000" w:themeColor="text1"/>
        </w:rPr>
      </w:pPr>
      <w:r w:rsidRPr="007D7B21">
        <w:rPr>
          <w:rFonts w:hint="eastAsia"/>
          <w:color w:val="000000" w:themeColor="text1"/>
        </w:rPr>
        <w:t>第7條規定：</w:t>
      </w:r>
    </w:p>
    <w:p w:rsidR="002C37FF" w:rsidRPr="007D7B21" w:rsidRDefault="002C37FF" w:rsidP="002C37FF">
      <w:pPr>
        <w:pStyle w:val="5"/>
        <w:rPr>
          <w:color w:val="000000" w:themeColor="text1"/>
        </w:rPr>
      </w:pPr>
      <w:r w:rsidRPr="007D7B21">
        <w:rPr>
          <w:rFonts w:hint="eastAsia"/>
          <w:color w:val="000000" w:themeColor="text1"/>
        </w:rPr>
        <w:t>締約國應採取所有必要措施，確保身心障礙兒童在與其他兒童平等基礎上，充分享有所有人權與基本自由。</w:t>
      </w:r>
    </w:p>
    <w:p w:rsidR="002C37FF" w:rsidRPr="007D7B21" w:rsidRDefault="002C37FF" w:rsidP="002C37FF">
      <w:pPr>
        <w:pStyle w:val="5"/>
        <w:rPr>
          <w:color w:val="000000" w:themeColor="text1"/>
        </w:rPr>
      </w:pPr>
      <w:r w:rsidRPr="007D7B21">
        <w:rPr>
          <w:rFonts w:hint="eastAsia"/>
          <w:color w:val="000000" w:themeColor="text1"/>
        </w:rPr>
        <w:t>於所有關於身心障礙兒童之行動中，應以兒童最佳利益為首要考量。</w:t>
      </w:r>
    </w:p>
    <w:p w:rsidR="002C37FF" w:rsidRPr="007D7B21" w:rsidRDefault="002C37FF" w:rsidP="002C37FF">
      <w:pPr>
        <w:pStyle w:val="5"/>
        <w:rPr>
          <w:color w:val="000000" w:themeColor="text1"/>
        </w:rPr>
      </w:pPr>
      <w:r w:rsidRPr="007D7B21">
        <w:rPr>
          <w:rFonts w:hint="eastAsia"/>
          <w:color w:val="000000" w:themeColor="text1"/>
        </w:rPr>
        <w:t>締約國應確保身心障礙兒童有權在與其他兒童平等基礎上，就所有影響本人之事項自由表達意見，並獲得適合其身心障礙狀況及年齡之協助措施以實現此項權利，身心障礙兒童之意見應按其年齡與成熟程度適當予以考量。</w:t>
      </w:r>
    </w:p>
    <w:p w:rsidR="002C37FF" w:rsidRPr="007D7B21" w:rsidRDefault="002C37FF" w:rsidP="002C37FF">
      <w:pPr>
        <w:pStyle w:val="4"/>
        <w:rPr>
          <w:rFonts w:hAnsi="標楷體"/>
          <w:color w:val="000000" w:themeColor="text1"/>
        </w:rPr>
      </w:pPr>
      <w:r w:rsidRPr="007D7B21">
        <w:rPr>
          <w:rFonts w:hint="eastAsia"/>
          <w:color w:val="000000" w:themeColor="text1"/>
        </w:rPr>
        <w:t>第9條第1項規定：為使身心障礙者能夠獨立生活及充分參與生活各個方面，締約國應採取適當措施，</w:t>
      </w:r>
      <w:r w:rsidRPr="007D7B21">
        <w:rPr>
          <w:rFonts w:hint="eastAsia"/>
          <w:color w:val="000000" w:themeColor="text1"/>
          <w:u w:val="single"/>
        </w:rPr>
        <w:t>確保身心障礙者在與其他人平等基礎上，無障礙地進出物理環境</w:t>
      </w:r>
      <w:r w:rsidRPr="007D7B21">
        <w:rPr>
          <w:rFonts w:hAnsi="標楷體" w:hint="eastAsia"/>
          <w:color w:val="000000" w:themeColor="text1"/>
        </w:rPr>
        <w:t>……</w:t>
      </w:r>
      <w:r w:rsidRPr="007D7B21">
        <w:rPr>
          <w:rFonts w:hint="eastAsia"/>
          <w:color w:val="000000" w:themeColor="text1"/>
        </w:rPr>
        <w:t>以及享有於都市與鄉</w:t>
      </w:r>
      <w:r w:rsidRPr="007D7B21">
        <w:rPr>
          <w:rFonts w:hint="eastAsia"/>
          <w:color w:val="000000" w:themeColor="text1"/>
        </w:rPr>
        <w:lastRenderedPageBreak/>
        <w:t>村地區向公眾開放或提供之其他設施及服務。該等措施應包括</w:t>
      </w:r>
      <w:r w:rsidRPr="007D7B21">
        <w:rPr>
          <w:rFonts w:hint="eastAsia"/>
          <w:color w:val="000000" w:themeColor="text1"/>
          <w:u w:val="single"/>
        </w:rPr>
        <w:t>查明及消除阻礙實現無障礙環境之因素</w:t>
      </w:r>
      <w:r w:rsidRPr="007D7B21">
        <w:rPr>
          <w:rFonts w:hint="eastAsia"/>
          <w:color w:val="000000" w:themeColor="text1"/>
        </w:rPr>
        <w:t>，尤其應適用於：建築、道路、交通與</w:t>
      </w:r>
      <w:r w:rsidRPr="007D7B21">
        <w:rPr>
          <w:rFonts w:hint="eastAsia"/>
          <w:color w:val="000000" w:themeColor="text1"/>
          <w:u w:val="single"/>
        </w:rPr>
        <w:t>其他室內外設施</w:t>
      </w:r>
      <w:r w:rsidRPr="007D7B21">
        <w:rPr>
          <w:rFonts w:hint="eastAsia"/>
          <w:color w:val="000000" w:themeColor="text1"/>
        </w:rPr>
        <w:t>，包括</w:t>
      </w:r>
      <w:r w:rsidRPr="007D7B21">
        <w:rPr>
          <w:rFonts w:hint="eastAsia"/>
          <w:color w:val="000000" w:themeColor="text1"/>
          <w:u w:val="single"/>
        </w:rPr>
        <w:t>學校</w:t>
      </w:r>
      <w:r w:rsidRPr="007D7B21">
        <w:rPr>
          <w:rFonts w:hint="eastAsia"/>
          <w:color w:val="000000" w:themeColor="text1"/>
        </w:rPr>
        <w:t>、住宅、醫療設施及工作場所</w:t>
      </w:r>
      <w:r w:rsidRPr="007D7B21">
        <w:rPr>
          <w:rFonts w:hAnsi="標楷體" w:hint="eastAsia"/>
          <w:color w:val="000000" w:themeColor="text1"/>
        </w:rPr>
        <w:t>……。</w:t>
      </w:r>
    </w:p>
    <w:p w:rsidR="002C37FF" w:rsidRPr="007D7B21" w:rsidRDefault="002C37FF" w:rsidP="002C37FF">
      <w:pPr>
        <w:pStyle w:val="4"/>
        <w:rPr>
          <w:rFonts w:hAnsi="標楷體"/>
          <w:color w:val="000000" w:themeColor="text1"/>
        </w:rPr>
      </w:pPr>
      <w:r w:rsidRPr="007D7B21">
        <w:rPr>
          <w:rFonts w:hint="eastAsia"/>
          <w:color w:val="000000" w:themeColor="text1"/>
        </w:rPr>
        <w:t>第24條第1項及第2項規定：</w:t>
      </w:r>
    </w:p>
    <w:p w:rsidR="002C37FF" w:rsidRPr="007D7B21" w:rsidRDefault="002C37FF" w:rsidP="002C37FF">
      <w:pPr>
        <w:pStyle w:val="5"/>
        <w:rPr>
          <w:color w:val="000000" w:themeColor="text1"/>
        </w:rPr>
      </w:pPr>
      <w:r w:rsidRPr="007D7B21">
        <w:rPr>
          <w:rFonts w:hint="eastAsia"/>
          <w:color w:val="000000" w:themeColor="text1"/>
        </w:rPr>
        <w:t>締約國確認身心障礙者享有受教育之權利。為了於不受歧視及機會均等之基礎上實現此一權利，締約國應確保於各級教育實行融合教育制度及終身學習，朝向：</w:t>
      </w:r>
    </w:p>
    <w:p w:rsidR="002C37FF" w:rsidRPr="007D7B21" w:rsidRDefault="002C37FF" w:rsidP="002C37FF">
      <w:pPr>
        <w:pStyle w:val="6"/>
        <w:rPr>
          <w:rFonts w:hAnsi="標楷體"/>
          <w:color w:val="000000" w:themeColor="text1"/>
        </w:rPr>
      </w:pPr>
      <w:r w:rsidRPr="007D7B21">
        <w:rPr>
          <w:rFonts w:hint="eastAsia"/>
          <w:color w:val="000000" w:themeColor="text1"/>
        </w:rPr>
        <w:t>充分開發人之潛力、尊嚴與自我價值，並加強對人權、基</w:t>
      </w:r>
      <w:r w:rsidRPr="007D7B21">
        <w:rPr>
          <w:rFonts w:hAnsi="標楷體" w:hint="eastAsia"/>
          <w:color w:val="000000" w:themeColor="text1"/>
        </w:rPr>
        <w:t>本自由及人之多元性之尊重；</w:t>
      </w:r>
    </w:p>
    <w:p w:rsidR="002C37FF" w:rsidRPr="007D7B21" w:rsidRDefault="002C37FF" w:rsidP="002C37FF">
      <w:pPr>
        <w:pStyle w:val="6"/>
        <w:rPr>
          <w:color w:val="000000" w:themeColor="text1"/>
        </w:rPr>
      </w:pPr>
      <w:r w:rsidRPr="007D7B21">
        <w:rPr>
          <w:rFonts w:hint="eastAsia"/>
          <w:color w:val="000000" w:themeColor="text1"/>
        </w:rPr>
        <w:t>極致發展身心障礙者之人格、才華與創造力以及心智能力及體能；</w:t>
      </w:r>
    </w:p>
    <w:p w:rsidR="002C37FF" w:rsidRPr="007D7B21" w:rsidRDefault="002C37FF" w:rsidP="002C37FF">
      <w:pPr>
        <w:pStyle w:val="6"/>
        <w:rPr>
          <w:color w:val="000000" w:themeColor="text1"/>
        </w:rPr>
      </w:pPr>
      <w:r w:rsidRPr="007D7B21">
        <w:rPr>
          <w:rFonts w:hint="eastAsia"/>
          <w:color w:val="000000" w:themeColor="text1"/>
        </w:rPr>
        <w:t>使所有身心障礙者能有效參與自由社會。</w:t>
      </w:r>
    </w:p>
    <w:p w:rsidR="002C37FF" w:rsidRPr="007D7B21" w:rsidRDefault="002C37FF" w:rsidP="002C37FF">
      <w:pPr>
        <w:pStyle w:val="5"/>
        <w:rPr>
          <w:rFonts w:hAnsi="標楷體"/>
          <w:color w:val="000000" w:themeColor="text1"/>
        </w:rPr>
      </w:pPr>
      <w:r w:rsidRPr="007D7B21">
        <w:rPr>
          <w:rFonts w:hint="eastAsia"/>
          <w:color w:val="000000" w:themeColor="text1"/>
        </w:rPr>
        <w:t>為實現此一權利，締約國應確保：</w:t>
      </w:r>
    </w:p>
    <w:p w:rsidR="002C37FF" w:rsidRPr="007D7B21" w:rsidRDefault="002C37FF" w:rsidP="002C37FF">
      <w:pPr>
        <w:pStyle w:val="6"/>
        <w:rPr>
          <w:color w:val="000000" w:themeColor="text1"/>
        </w:rPr>
      </w:pPr>
      <w:r w:rsidRPr="007D7B21">
        <w:rPr>
          <w:rFonts w:hint="eastAsia"/>
          <w:color w:val="000000" w:themeColor="text1"/>
        </w:rPr>
        <w:t>身心障礙者不因身心障礙而被排拒於普通教育系統之外，身心障礙兒童不因身心障礙而被排拒於免費與義務小學教育或中等教育之外；</w:t>
      </w:r>
    </w:p>
    <w:p w:rsidR="002C37FF" w:rsidRPr="007D7B21" w:rsidRDefault="002C37FF" w:rsidP="002C37FF">
      <w:pPr>
        <w:pStyle w:val="6"/>
        <w:rPr>
          <w:color w:val="000000" w:themeColor="text1"/>
        </w:rPr>
      </w:pPr>
      <w:r w:rsidRPr="007D7B21">
        <w:rPr>
          <w:rFonts w:hint="eastAsia"/>
          <w:color w:val="000000" w:themeColor="text1"/>
        </w:rPr>
        <w:t>身心障礙者可以於自己生活之社區內，在與其他人平等基礎上，獲得融合、優質及免費之小學教育及中等教育；</w:t>
      </w:r>
    </w:p>
    <w:p w:rsidR="002C37FF" w:rsidRPr="007D7B21" w:rsidRDefault="002C37FF" w:rsidP="002C37FF">
      <w:pPr>
        <w:pStyle w:val="6"/>
        <w:rPr>
          <w:color w:val="000000" w:themeColor="text1"/>
        </w:rPr>
      </w:pPr>
      <w:r w:rsidRPr="007D7B21">
        <w:rPr>
          <w:rFonts w:hint="eastAsia"/>
          <w:color w:val="000000" w:themeColor="text1"/>
        </w:rPr>
        <w:t>提供合理之對待以滿足個人需求；</w:t>
      </w:r>
    </w:p>
    <w:p w:rsidR="002C37FF" w:rsidRPr="007D7B21" w:rsidRDefault="002C37FF" w:rsidP="002C37FF">
      <w:pPr>
        <w:pStyle w:val="6"/>
        <w:rPr>
          <w:color w:val="000000" w:themeColor="text1"/>
        </w:rPr>
      </w:pPr>
      <w:r w:rsidRPr="007D7B21">
        <w:rPr>
          <w:rFonts w:hint="eastAsia"/>
          <w:color w:val="000000" w:themeColor="text1"/>
        </w:rPr>
        <w:t>身心障礙者於普通教育系統中獲得必要之協助，以利其獲得有效之教育；</w:t>
      </w:r>
    </w:p>
    <w:p w:rsidR="002C37FF" w:rsidRPr="007D7B21" w:rsidRDefault="002C37FF" w:rsidP="002C37FF">
      <w:pPr>
        <w:pStyle w:val="6"/>
        <w:rPr>
          <w:color w:val="000000" w:themeColor="text1"/>
        </w:rPr>
      </w:pPr>
      <w:r w:rsidRPr="007D7B21">
        <w:rPr>
          <w:rFonts w:hint="eastAsia"/>
          <w:color w:val="000000" w:themeColor="text1"/>
        </w:rPr>
        <w:t>符合充分融合之目標下，於最有利於學業與社會發展之環境中，提供有效之個別化協助措施。</w:t>
      </w:r>
    </w:p>
    <w:p w:rsidR="002C37FF" w:rsidRPr="007D7B21" w:rsidRDefault="002C37FF" w:rsidP="002C37FF">
      <w:pPr>
        <w:pStyle w:val="4"/>
        <w:rPr>
          <w:color w:val="000000" w:themeColor="text1"/>
        </w:rPr>
      </w:pPr>
      <w:r w:rsidRPr="007D7B21">
        <w:rPr>
          <w:rFonts w:hint="eastAsia"/>
          <w:color w:val="000000" w:themeColor="text1"/>
        </w:rPr>
        <w:t>第2號一般性意見（摘錄）：</w:t>
      </w:r>
    </w:p>
    <w:p w:rsidR="002C37FF" w:rsidRPr="007D7B21" w:rsidRDefault="002C37FF" w:rsidP="002C37FF">
      <w:pPr>
        <w:pStyle w:val="5"/>
        <w:rPr>
          <w:color w:val="000000" w:themeColor="text1"/>
        </w:rPr>
      </w:pPr>
      <w:r w:rsidRPr="007D7B21">
        <w:rPr>
          <w:rFonts w:hint="eastAsia"/>
          <w:color w:val="000000" w:themeColor="text1"/>
        </w:rPr>
        <w:lastRenderedPageBreak/>
        <w:t>導言：無障礙是身心障礙者自立生活以及完整平等參與社會的前提。如果不能進入物理環境2、利用大眾運輸、獲得資訊及通訊、包括資訊與通訊科技及制度、不能進入向公眾開放或提供的其他設施及服務，那麼，身心障礙者就不會有平等的機會參與到他們各自所屬的社會中。無障礙是身心障礙者權利公約作為基礎的原則之一(第 3 條第 6 項)。歷史上，身心障礙者運動證實了身心障礙者進入物理環境及公共交通的機會，是世界人權宣言第13條及公民與政治權利國際公約第12條所保障的行動自由的一個前提。同樣，獲得資訊及通訊也被看作是意見及表意自由的一個前提，得到世界人權宣言第 19 條及公民與政治權利國際公約第19條第2項的保障。</w:t>
      </w:r>
    </w:p>
    <w:p w:rsidR="002C37FF" w:rsidRPr="007D7B21" w:rsidRDefault="002C37FF" w:rsidP="002C37FF">
      <w:pPr>
        <w:pStyle w:val="5"/>
        <w:rPr>
          <w:color w:val="000000" w:themeColor="text1"/>
        </w:rPr>
      </w:pPr>
      <w:r w:rsidRPr="007D7B21">
        <w:rPr>
          <w:rFonts w:hint="eastAsia"/>
          <w:color w:val="000000" w:themeColor="text1"/>
        </w:rPr>
        <w:t>第9條規範性内容：提供合理調整的責任是一種現時的責任。這意味從患有障礙的個人在特定情況下(例如工作地點或學校等)需要這種調整，以便在特定背景下平等享有自己的權利的那一時刻起就應該履行這項責任。在這裡，無障礙標準可以是一個指標，但不一定是規範性的。合理調整可做為確保身心障礙者在某一情況中的無障礙的一種手段。合理調整爭取實現個人的正義，以確保不歧視或平等，同時考慮個人的尊嚴、自主及選擇。因此，患有不常見障礙的人可以要求提供無障礙標準範圍以外的調整。</w:t>
      </w:r>
    </w:p>
    <w:p w:rsidR="002C37FF" w:rsidRPr="007D7B21" w:rsidRDefault="002C37FF" w:rsidP="002C37FF">
      <w:pPr>
        <w:pStyle w:val="5"/>
        <w:rPr>
          <w:color w:val="000000" w:themeColor="text1"/>
        </w:rPr>
      </w:pPr>
      <w:r w:rsidRPr="007D7B21">
        <w:rPr>
          <w:rFonts w:hint="eastAsia"/>
          <w:color w:val="000000" w:themeColor="text1"/>
        </w:rPr>
        <w:t>締約國的義務：如果沒有到學校的無障礙交通，學校建築物沒有實現無障礙，資訊及通訊也不採取無障礙手段，身心障礙者就沒有機會</w:t>
      </w:r>
      <w:r w:rsidRPr="007D7B21">
        <w:rPr>
          <w:rFonts w:hint="eastAsia"/>
          <w:color w:val="000000" w:themeColor="text1"/>
        </w:rPr>
        <w:lastRenderedPageBreak/>
        <w:t>行使受教育的權利(身心障礙者權利公約第 24 條)。因此，學校必須按照身心障礙者權利公約第9條第1項第a款明確表示的那樣實現無障礙。但是，必須要實現無障礙的，是融合教育的整個過程，不只是建築物，還有學校的所有資訊及通訊，包括周圍環境或 FM 輔助系統、支持服務及合理調整等。為了推動無障礙，教育以及學校課程的内容都應推廣手語、點字、替代文字、以及傳播及定向的輔助及替代性模式、手段及格式，並以此為教學手段(第24條第3項第</w:t>
      </w:r>
      <w:r w:rsidRPr="007D7B21">
        <w:rPr>
          <w:color w:val="000000" w:themeColor="text1"/>
        </w:rPr>
        <w:t>a</w:t>
      </w:r>
      <w:r w:rsidRPr="007D7B21">
        <w:rPr>
          <w:rFonts w:hint="eastAsia"/>
          <w:color w:val="000000" w:themeColor="text1"/>
        </w:rPr>
        <w:t>款</w:t>
      </w:r>
      <w:r w:rsidRPr="007D7B21">
        <w:rPr>
          <w:color w:val="000000" w:themeColor="text1"/>
        </w:rPr>
        <w:t>)</w:t>
      </w:r>
      <w:r w:rsidRPr="007D7B21">
        <w:rPr>
          <w:rFonts w:hint="eastAsia"/>
          <w:color w:val="000000" w:themeColor="text1"/>
        </w:rPr>
        <w:t>，同時還要特别注意盲、聾以及視聽覺障礙學生所用傳播的適當語言、模式及手段。教育模式及手段應實現無障礙，應該在無障礙環境中進行。身心障礙學生的總體環境的設計必須有助於他們融合教育的整個過程，並保障他們的平等。全面執行身心障礙者權利公約第 24 條的情況應該與其他核心人權文書以及聯合國教育、科學及文化組織禁止教育中的歧視公約的規定一起考量。</w:t>
      </w:r>
    </w:p>
    <w:p w:rsidR="002C37FF" w:rsidRPr="007D7B21" w:rsidRDefault="002C37FF" w:rsidP="002C37FF">
      <w:pPr>
        <w:pStyle w:val="4"/>
        <w:rPr>
          <w:color w:val="000000" w:themeColor="text1"/>
        </w:rPr>
      </w:pPr>
      <w:r w:rsidRPr="007D7B21">
        <w:rPr>
          <w:rFonts w:hint="eastAsia"/>
          <w:color w:val="000000" w:themeColor="text1"/>
        </w:rPr>
        <w:t>第4號一般性意見（摘錄）：</w:t>
      </w:r>
    </w:p>
    <w:p w:rsidR="002C37FF" w:rsidRPr="007D7B21" w:rsidRDefault="002C37FF" w:rsidP="002C37FF">
      <w:pPr>
        <w:pStyle w:val="5"/>
        <w:rPr>
          <w:color w:val="000000" w:themeColor="text1"/>
        </w:rPr>
      </w:pPr>
      <w:r w:rsidRPr="007D7B21">
        <w:rPr>
          <w:rFonts w:hint="eastAsia"/>
          <w:color w:val="000000" w:themeColor="text1"/>
        </w:rPr>
        <w:t>第24條規範性內容：根據《公約》第 9 條和委員會關於無障礙的第 2 號一般性意見(2014)，教育機構和教育方案必須做到對每個人都不歧視與無障礙。整個教育系統必須是無障礙的，包括建築物、資訊和溝通工具（包括環境輔助或調頻系統）、課程、教材、教學方法、評量、語言和支持服務。身心障礙學生所處的環境必須經過設計，以便在整個教育過程中能促進融合並保障他們的平等。 例如，學校交通、供水和衛生設施（包括個人衛生和如廁設施）、學校</w:t>
      </w:r>
      <w:r w:rsidRPr="007D7B21">
        <w:rPr>
          <w:rFonts w:hint="eastAsia"/>
          <w:color w:val="000000" w:themeColor="text1"/>
        </w:rPr>
        <w:lastRenderedPageBreak/>
        <w:t>餐廳和娛樂場所都應具備融合、無障礙和安全的特質。締約國必須承諾儘速採用通用設計。</w:t>
      </w:r>
    </w:p>
    <w:p w:rsidR="002C37FF" w:rsidRPr="007D7B21" w:rsidRDefault="002C37FF" w:rsidP="002C37FF">
      <w:pPr>
        <w:pStyle w:val="5"/>
        <w:rPr>
          <w:color w:val="000000" w:themeColor="text1"/>
        </w:rPr>
      </w:pPr>
      <w:r w:rsidRPr="007D7B21">
        <w:rPr>
          <w:rFonts w:hint="eastAsia"/>
          <w:color w:val="000000" w:themeColor="text1"/>
        </w:rPr>
        <w:t>與《公約》其他規定之間的關係：第9條與第 24 條密切相關。無障礙／可及性是身心障礙者充分平等參與社會的前提。沒有無障礙／可及的建築環境（包括學校和其他教育場所），沒有無障礙／可及的大眾交通、服務、資訊和通訊技術，身心障礙者就無法有效享有接受融合教育的權利。</w:t>
      </w:r>
    </w:p>
    <w:p w:rsidR="002C37FF" w:rsidRPr="007D7B21" w:rsidRDefault="002C37FF" w:rsidP="002C37FF">
      <w:pPr>
        <w:pStyle w:val="5"/>
        <w:rPr>
          <w:color w:val="000000" w:themeColor="text1"/>
        </w:rPr>
      </w:pPr>
      <w:r w:rsidRPr="007D7B21">
        <w:rPr>
          <w:rFonts w:hint="eastAsia"/>
          <w:color w:val="000000" w:themeColor="text1"/>
        </w:rPr>
        <w:t>國家層級的施行：要求所有新學校的設計和建造都需遵守通用設計原則，符合無障礙／可及性標準；同時按照委員會第 2 號一般性意見，訂定期程改善現有不合規範的校舍。鼓勵運用政府採購措施執行之。</w:t>
      </w:r>
    </w:p>
    <w:p w:rsidR="002C37FF" w:rsidRPr="007D7B21" w:rsidRDefault="002C37FF" w:rsidP="002C37FF">
      <w:pPr>
        <w:pStyle w:val="3"/>
        <w:rPr>
          <w:color w:val="000000" w:themeColor="text1"/>
        </w:rPr>
      </w:pPr>
      <w:r w:rsidRPr="007D7B21">
        <w:rPr>
          <w:rFonts w:hint="eastAsia"/>
          <w:color w:val="000000" w:themeColor="text1"/>
        </w:rPr>
        <w:t>兒童權利公約：</w:t>
      </w:r>
    </w:p>
    <w:p w:rsidR="002C37FF" w:rsidRPr="007D7B21" w:rsidRDefault="002C37FF" w:rsidP="002C37FF">
      <w:pPr>
        <w:pStyle w:val="4"/>
        <w:rPr>
          <w:color w:val="000000" w:themeColor="text1"/>
        </w:rPr>
      </w:pPr>
      <w:r w:rsidRPr="007D7B21">
        <w:rPr>
          <w:rFonts w:hint="eastAsia"/>
          <w:color w:val="000000" w:themeColor="text1"/>
        </w:rPr>
        <w:t>第23條第1項規定：締約國體認身心障礙兒童，應於確保其尊嚴、促進其自立、有利於其積極參與社會環境下，享有完整與一般之生活。</w:t>
      </w:r>
    </w:p>
    <w:p w:rsidR="002C37FF" w:rsidRPr="007D7B21" w:rsidRDefault="002C37FF" w:rsidP="002C37FF">
      <w:pPr>
        <w:pStyle w:val="4"/>
        <w:rPr>
          <w:color w:val="000000" w:themeColor="text1"/>
        </w:rPr>
      </w:pPr>
      <w:r w:rsidRPr="007D7B21">
        <w:rPr>
          <w:rFonts w:hint="eastAsia"/>
          <w:color w:val="000000" w:themeColor="text1"/>
        </w:rPr>
        <w:t>第9號一般性意見：</w:t>
      </w:r>
    </w:p>
    <w:p w:rsidR="002C37FF" w:rsidRPr="007D7B21" w:rsidRDefault="002C37FF" w:rsidP="002C37FF">
      <w:pPr>
        <w:pStyle w:val="5"/>
        <w:rPr>
          <w:color w:val="000000" w:themeColor="text1"/>
        </w:rPr>
      </w:pPr>
      <w:r w:rsidRPr="007D7B21">
        <w:rPr>
          <w:rFonts w:hint="eastAsia"/>
          <w:color w:val="000000" w:themeColor="text1"/>
        </w:rPr>
        <w:t>一般執行措施─預算：締約國負有監督為殘疾兒童劃撥適當的資金</w:t>
      </w:r>
      <w:r w:rsidRPr="007D7B21">
        <w:rPr>
          <w:rFonts w:hAnsi="標楷體" w:hint="eastAsia"/>
          <w:color w:val="000000" w:themeColor="text1"/>
        </w:rPr>
        <w:t>……</w:t>
      </w:r>
      <w:r w:rsidRPr="007D7B21">
        <w:rPr>
          <w:rFonts w:hint="eastAsia"/>
          <w:color w:val="000000" w:themeColor="text1"/>
        </w:rPr>
        <w:t>必須確保為旨在將殘疾兒童納入主流教育的其他方案提供資金，除其他外包括對學校進行翻修，以方便殘疾兒童通行。</w:t>
      </w:r>
    </w:p>
    <w:p w:rsidR="002C37FF" w:rsidRPr="007D7B21" w:rsidRDefault="002C37FF" w:rsidP="002C37FF">
      <w:pPr>
        <w:pStyle w:val="5"/>
        <w:rPr>
          <w:color w:val="000000" w:themeColor="text1"/>
        </w:rPr>
      </w:pPr>
      <w:r w:rsidRPr="007D7B21">
        <w:rPr>
          <w:rFonts w:hint="eastAsia"/>
          <w:color w:val="000000" w:themeColor="text1"/>
        </w:rPr>
        <w:t>公民權利和自由─公共交通和設施的使用便利條件：所有新的公共大樓都應符合方便殘疾人出入的國際規格，現有的公共大樓，包括學校、衛生設施、政府大樓、購物場所，都必須進行必要的改造，以使之盡可能容易進出。</w:t>
      </w:r>
    </w:p>
    <w:p w:rsidR="002C37FF" w:rsidRPr="007D7B21" w:rsidRDefault="002C37FF" w:rsidP="002C37FF">
      <w:pPr>
        <w:pStyle w:val="5"/>
        <w:rPr>
          <w:color w:val="000000" w:themeColor="text1"/>
        </w:rPr>
      </w:pPr>
      <w:r w:rsidRPr="007D7B21">
        <w:rPr>
          <w:rFonts w:hint="eastAsia"/>
          <w:color w:val="000000" w:themeColor="text1"/>
        </w:rPr>
        <w:t>教育和休閒─學校系統中的教育：所有學校都</w:t>
      </w:r>
      <w:r w:rsidRPr="007D7B21">
        <w:rPr>
          <w:rFonts w:hint="eastAsia"/>
          <w:color w:val="000000" w:themeColor="text1"/>
        </w:rPr>
        <w:lastRenderedPageBreak/>
        <w:t>不得有交流上的障礙以及阻礙行動不便的兒童出入的有形障礙。</w:t>
      </w:r>
    </w:p>
    <w:p w:rsidR="002C37FF" w:rsidRPr="007D7B21" w:rsidRDefault="002C37FF" w:rsidP="002C37FF">
      <w:pPr>
        <w:pStyle w:val="3"/>
        <w:rPr>
          <w:rFonts w:hAnsi="標楷體"/>
          <w:color w:val="000000" w:themeColor="text1"/>
        </w:rPr>
      </w:pPr>
      <w:r w:rsidRPr="007D7B21">
        <w:rPr>
          <w:rFonts w:hint="eastAsia"/>
          <w:color w:val="000000" w:themeColor="text1"/>
        </w:rPr>
        <w:t>另國際審查委員會106年11月3日就我國施行CRPD初次國家報告結論性意見第32點指出：「國際審查委員會對下列方面表示關切：現行無障礙立法及執行措施僅為臨時性質，未妥善解決國家普遍缺乏無障礙環境的問題……」，均說明我國對於身心障礙者之無障礙環境之建構應予保障，確保所有身心障礙者充分及平等享有所有人權及基本自由，並促進對身心障礙者固有尊嚴之尊重。</w:t>
      </w:r>
    </w:p>
    <w:p w:rsidR="002C37FF" w:rsidRPr="007D7B21" w:rsidRDefault="002C37FF" w:rsidP="002C37FF">
      <w:pPr>
        <w:pStyle w:val="2"/>
        <w:rPr>
          <w:color w:val="000000" w:themeColor="text1"/>
        </w:rPr>
      </w:pPr>
      <w:r w:rsidRPr="007D7B21">
        <w:rPr>
          <w:rFonts w:hint="eastAsia"/>
          <w:color w:val="000000" w:themeColor="text1"/>
        </w:rPr>
        <w:t>次按我國憲法增修條文第10條及身權法第5</w:t>
      </w:r>
      <w:r w:rsidRPr="007D7B21">
        <w:rPr>
          <w:color w:val="000000" w:themeColor="text1"/>
        </w:rPr>
        <w:t>7</w:t>
      </w:r>
      <w:r w:rsidRPr="007D7B21">
        <w:rPr>
          <w:rFonts w:hint="eastAsia"/>
          <w:color w:val="000000" w:themeColor="text1"/>
        </w:rPr>
        <w:t>條等</w:t>
      </w:r>
      <w:r w:rsidR="00F32679" w:rsidRPr="007D7B21">
        <w:rPr>
          <w:rFonts w:hAnsi="標楷體" w:hint="eastAsia"/>
          <w:color w:val="000000" w:themeColor="text1"/>
        </w:rPr>
        <w:t>校園無障礙</w:t>
      </w:r>
      <w:r w:rsidRPr="007D7B21">
        <w:rPr>
          <w:rFonts w:hint="eastAsia"/>
          <w:color w:val="000000" w:themeColor="text1"/>
        </w:rPr>
        <w:t>規定，無障礙環境應予建構，如未符合規定，應令其改善，或提具替代改善計畫，違者依身權法第8</w:t>
      </w:r>
      <w:r w:rsidRPr="007D7B21">
        <w:rPr>
          <w:color w:val="000000" w:themeColor="text1"/>
        </w:rPr>
        <w:t>8</w:t>
      </w:r>
      <w:r w:rsidRPr="007D7B21">
        <w:rPr>
          <w:rFonts w:hint="eastAsia"/>
          <w:color w:val="000000" w:themeColor="text1"/>
        </w:rPr>
        <w:t>條</w:t>
      </w:r>
      <w:r w:rsidR="00BD144E" w:rsidRPr="007D7B21">
        <w:rPr>
          <w:rFonts w:hint="eastAsia"/>
          <w:color w:val="000000" w:themeColor="text1"/>
        </w:rPr>
        <w:t>規定，</w:t>
      </w:r>
      <w:r w:rsidRPr="007D7B21">
        <w:rPr>
          <w:rFonts w:hint="eastAsia"/>
          <w:color w:val="000000" w:themeColor="text1"/>
        </w:rPr>
        <w:t>除可勒令停止使用外，處所有權人或管理機關負責人6萬元以上3</w:t>
      </w:r>
      <w:r w:rsidRPr="007D7B21">
        <w:rPr>
          <w:color w:val="000000" w:themeColor="text1"/>
        </w:rPr>
        <w:t>0</w:t>
      </w:r>
      <w:r w:rsidRPr="007D7B21">
        <w:rPr>
          <w:rFonts w:hint="eastAsia"/>
          <w:color w:val="000000" w:themeColor="text1"/>
        </w:rPr>
        <w:t>萬元以下罰鍰，並限期改善，屆期未改善者，得按次處罰至其改善完成為止，必要時得停止供水、供電或封閉</w:t>
      </w:r>
      <w:r w:rsidRPr="007D7B21">
        <w:rPr>
          <w:rFonts w:hAnsi="標楷體"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憲法增修條文第10條規定：「……國家對於身心障礙者之保險與就醫、無障礙環境之建構、教育訓練與就業輔導及生活維護與救助，應予保障，並扶助其自立與發展……</w:t>
      </w:r>
      <w:r w:rsidR="00F32679" w:rsidRPr="007D7B21">
        <w:rPr>
          <w:rFonts w:hint="eastAsia"/>
          <w:color w:val="000000" w:themeColor="text1"/>
        </w:rPr>
        <w:t>。</w:t>
      </w:r>
      <w:r w:rsidRPr="007D7B21">
        <w:rPr>
          <w:rFonts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殘障福利法於69年6月2日總統（69）台統（一）義字第3028號令制定公布全文26條。86年4月23日總統（86）華總（一）義字第8600097810號令修正公布名稱及全文75條（原名稱：殘障福利法；新名稱：身心障礙者保護法）。96年7月11日總統華總一義字第09600087331號令修正公布名稱及全文109條；除第38條自公布後2年施行；第5至7、13至15、18、26、50、51、56、58、59、71條自公布後5年施行；其餘自公布日施行（原名稱：身心障礙者保護法；新名</w:t>
      </w:r>
      <w:r w:rsidRPr="007D7B21">
        <w:rPr>
          <w:rFonts w:hint="eastAsia"/>
          <w:color w:val="000000" w:themeColor="text1"/>
        </w:rPr>
        <w:lastRenderedPageBreak/>
        <w:t>稱：身心障礙者權益保障法），其中：</w:t>
      </w:r>
    </w:p>
    <w:p w:rsidR="002C37FF" w:rsidRPr="007D7B21" w:rsidRDefault="002C37FF" w:rsidP="002C37FF">
      <w:pPr>
        <w:pStyle w:val="4"/>
        <w:rPr>
          <w:color w:val="000000" w:themeColor="text1"/>
        </w:rPr>
      </w:pPr>
      <w:r w:rsidRPr="007D7B21">
        <w:rPr>
          <w:rFonts w:hAnsi="標楷體" w:hint="eastAsia"/>
          <w:color w:val="000000" w:themeColor="text1"/>
        </w:rPr>
        <w:t>身權法</w:t>
      </w:r>
      <w:r w:rsidRPr="007D7B21">
        <w:rPr>
          <w:rFonts w:hint="eastAsia"/>
          <w:color w:val="000000" w:themeColor="text1"/>
        </w:rPr>
        <w:t>第</w:t>
      </w:r>
      <w:r w:rsidRPr="007D7B21">
        <w:rPr>
          <w:color w:val="000000" w:themeColor="text1"/>
        </w:rPr>
        <w:t>2</w:t>
      </w:r>
      <w:r w:rsidRPr="007D7B21">
        <w:rPr>
          <w:rFonts w:hint="eastAsia"/>
          <w:color w:val="000000" w:themeColor="text1"/>
        </w:rPr>
        <w:t>條規定：「……本法所定事項，涉及各目的事業主管機關職掌者，由各目的事業主管機關辦理。前二項主管機關及各目的事業主管機關權責劃分如下：……</w:t>
      </w:r>
      <w:r w:rsidRPr="007D7B21">
        <w:rPr>
          <w:rFonts w:hint="eastAsia"/>
          <w:b/>
          <w:color w:val="000000" w:themeColor="text1"/>
        </w:rPr>
        <w:t>三、教育主管機關：身心障礙者教育權益維護、教育資源與設施均衡配置、專業服務人才之培育等相關權益之規劃、推動及監督等事項。</w:t>
      </w:r>
      <w:r w:rsidRPr="007D7B21">
        <w:rPr>
          <w:rFonts w:hint="eastAsia"/>
          <w:color w:val="000000" w:themeColor="text1"/>
        </w:rPr>
        <w:t>……五、建設、工務、住宅主管機關：身心障礙者住宅、公共建築物、公共設施之總體規劃與無障礙生活環境等相關權益之規劃、推動及監督等事項。……」</w:t>
      </w:r>
      <w:r w:rsidR="00F32679" w:rsidRPr="007D7B21">
        <w:rPr>
          <w:rFonts w:hint="eastAsia"/>
          <w:color w:val="000000" w:themeColor="text1"/>
        </w:rPr>
        <w:t>。</w:t>
      </w:r>
      <w:r w:rsidRPr="007D7B21">
        <w:rPr>
          <w:rFonts w:hint="eastAsia"/>
          <w:color w:val="000000" w:themeColor="text1"/>
        </w:rPr>
        <w:t>教育部組織法第2條規定：「本部掌理下列事項：……六、學生事務之輔導及行政監督、學校全民國防教育、校園安全政策之規劃、輔導與行政監督……。十、其他有關教育事項。」</w:t>
      </w:r>
      <w:r w:rsidR="00F32679" w:rsidRPr="007D7B21">
        <w:rPr>
          <w:rFonts w:hint="eastAsia"/>
          <w:color w:val="000000" w:themeColor="text1"/>
        </w:rPr>
        <w:t>另依</w:t>
      </w:r>
      <w:r w:rsidRPr="007D7B21">
        <w:rPr>
          <w:rFonts w:hint="eastAsia"/>
          <w:color w:val="000000" w:themeColor="text1"/>
        </w:rPr>
        <w:t>教育部國民及學前教育署組織法第2條規定：「本署（國教署）掌理下列事項：……八、高級中等以下學校與學前教育階段校園安全事項之規劃、執行及督導。」是以，教育部暨所屬國教署對於校園安全政策，與有關身心障礙者於接受教育階段之權益維護、教育資源與設施均衡配置、專業服務人才之培育等相關權益之規劃、推動及監督等事項，以及校園無障礙環境之規劃、推動及監督等事項顯有規劃、執行及督導職責，</w:t>
      </w:r>
      <w:r w:rsidRPr="007D7B21">
        <w:rPr>
          <w:rFonts w:hAnsi="標楷體" w:hint="eastAsia"/>
          <w:color w:val="000000" w:themeColor="text1"/>
        </w:rPr>
        <w:t>殆無疑義。</w:t>
      </w:r>
    </w:p>
    <w:p w:rsidR="002C37FF" w:rsidRPr="007D7B21" w:rsidRDefault="002C37FF" w:rsidP="002C37FF">
      <w:pPr>
        <w:pStyle w:val="4"/>
        <w:rPr>
          <w:color w:val="000000" w:themeColor="text1"/>
        </w:rPr>
      </w:pPr>
      <w:r w:rsidRPr="007D7B21">
        <w:rPr>
          <w:rFonts w:hAnsi="標楷體" w:hint="eastAsia"/>
          <w:color w:val="000000" w:themeColor="text1"/>
        </w:rPr>
        <w:t>身權法第57條規定</w:t>
      </w:r>
      <w:r w:rsidRPr="007D7B21">
        <w:rPr>
          <w:rFonts w:hint="eastAsia"/>
          <w:color w:val="000000" w:themeColor="text1"/>
        </w:rPr>
        <w:t>：「（第</w:t>
      </w:r>
      <w:r w:rsidRPr="007D7B21">
        <w:rPr>
          <w:color w:val="000000" w:themeColor="text1"/>
        </w:rPr>
        <w:t>1</w:t>
      </w:r>
      <w:r w:rsidRPr="007D7B21">
        <w:rPr>
          <w:rFonts w:hint="eastAsia"/>
          <w:color w:val="000000" w:themeColor="text1"/>
        </w:rPr>
        <w:t>項）新建公共建築物及活動場所，應規劃設置便於各類身心障礙者行動與使用之設施及設備。未符合規定者，不得核發建築執照或對外開放使用。（第2項）</w:t>
      </w:r>
      <w:r w:rsidRPr="007D7B21">
        <w:rPr>
          <w:rFonts w:hint="eastAsia"/>
          <w:b/>
          <w:color w:val="000000" w:themeColor="text1"/>
        </w:rPr>
        <w:t>公共建築物</w:t>
      </w:r>
      <w:r w:rsidRPr="007D7B21">
        <w:rPr>
          <w:rFonts w:hint="eastAsia"/>
          <w:color w:val="000000" w:themeColor="text1"/>
        </w:rPr>
        <w:t>及活動場所應至少於</w:t>
      </w:r>
      <w:r w:rsidRPr="007D7B21">
        <w:rPr>
          <w:rFonts w:hint="eastAsia"/>
          <w:b/>
          <w:color w:val="000000" w:themeColor="text1"/>
        </w:rPr>
        <w:t>其室外通路、避難層坡道及扶手、避難層出入口、室內出入口、室內通路走</w:t>
      </w:r>
      <w:r w:rsidRPr="007D7B21">
        <w:rPr>
          <w:rFonts w:hint="eastAsia"/>
          <w:b/>
          <w:color w:val="000000" w:themeColor="text1"/>
        </w:rPr>
        <w:lastRenderedPageBreak/>
        <w:t>廊、樓梯、升降設備、哺（集）乳室、廁所盥洗室（含移動式）、浴室、輪椅觀眾席位周邊、停車場</w:t>
      </w:r>
      <w:r w:rsidRPr="007D7B21">
        <w:rPr>
          <w:rFonts w:hint="eastAsia"/>
          <w:color w:val="000000" w:themeColor="text1"/>
        </w:rPr>
        <w:t>等其他必要處設置無障礙設備及設施。其項目與規格，由中央目的事業主管機關於其相關法令或依本法定之。（第3項）</w:t>
      </w:r>
      <w:r w:rsidRPr="007D7B21">
        <w:rPr>
          <w:rFonts w:hint="eastAsia"/>
          <w:b/>
          <w:color w:val="000000" w:themeColor="text1"/>
        </w:rPr>
        <w:t>公共建築物</w:t>
      </w:r>
      <w:r w:rsidRPr="007D7B21">
        <w:rPr>
          <w:rFonts w:hint="eastAsia"/>
          <w:color w:val="000000" w:themeColor="text1"/>
        </w:rPr>
        <w:t>及活動場所之</w:t>
      </w:r>
      <w:r w:rsidRPr="007D7B21">
        <w:rPr>
          <w:rFonts w:hint="eastAsia"/>
          <w:b/>
          <w:color w:val="000000" w:themeColor="text1"/>
        </w:rPr>
        <w:t>無障礙設備及設施不符合前項規定者，各級目的事業主管機關應令其所有權人或管理機關負責人改善。</w:t>
      </w:r>
      <w:r w:rsidRPr="007D7B21">
        <w:rPr>
          <w:rFonts w:hint="eastAsia"/>
          <w:color w:val="000000" w:themeColor="text1"/>
        </w:rPr>
        <w:t>但因軍事管制、古蹟維護、自然環境因素、建築物構造或設備限制等特殊情形，設置無障礙設備及設施確有困難者，得由所有權人或管理機關負責人</w:t>
      </w:r>
      <w:r w:rsidRPr="007D7B21">
        <w:rPr>
          <w:rFonts w:hint="eastAsia"/>
          <w:b/>
          <w:color w:val="000000" w:themeColor="text1"/>
        </w:rPr>
        <w:t>提具替代改善計畫，申報各級目的事業主管機關核定，並核定改善期限。</w:t>
      </w:r>
      <w:r w:rsidRPr="007D7B21">
        <w:rPr>
          <w:rFonts w:hint="eastAsia"/>
          <w:color w:val="000000" w:themeColor="text1"/>
        </w:rPr>
        <w:t>」</w:t>
      </w:r>
    </w:p>
    <w:p w:rsidR="002C37FF" w:rsidRPr="007D7B21" w:rsidRDefault="002C37FF" w:rsidP="002C37FF">
      <w:pPr>
        <w:pStyle w:val="4"/>
        <w:rPr>
          <w:color w:val="000000" w:themeColor="text1"/>
        </w:rPr>
      </w:pPr>
      <w:r w:rsidRPr="007D7B21">
        <w:rPr>
          <w:rFonts w:hAnsi="標楷體" w:hint="eastAsia"/>
          <w:color w:val="000000" w:themeColor="text1"/>
        </w:rPr>
        <w:t>身權法</w:t>
      </w:r>
      <w:r w:rsidRPr="007D7B21">
        <w:rPr>
          <w:rFonts w:hint="eastAsia"/>
          <w:color w:val="000000" w:themeColor="text1"/>
        </w:rPr>
        <w:t>第88條規定：「（第1項）違反第57條第3項規定未改善或未提具替代改善計畫或未依核定改善計畫之期限改善完成者，各級目的事業主管機關除得勒令停止其使用外，</w:t>
      </w:r>
      <w:r w:rsidRPr="007D7B21">
        <w:rPr>
          <w:rFonts w:hint="eastAsia"/>
          <w:color w:val="000000" w:themeColor="text1"/>
          <w:u w:val="single"/>
        </w:rPr>
        <w:t>處其所有權人或管理機關負責人新臺幣6萬元以上30萬元以下罰鍰</w:t>
      </w:r>
      <w:r w:rsidRPr="007D7B21">
        <w:rPr>
          <w:rFonts w:hint="eastAsia"/>
          <w:color w:val="000000" w:themeColor="text1"/>
        </w:rPr>
        <w:t>，並限期改善；屆期未改善者，得按次處罰至其改善完成為止；必要時，</w:t>
      </w:r>
      <w:r w:rsidRPr="007D7B21">
        <w:rPr>
          <w:rFonts w:hint="eastAsia"/>
          <w:color w:val="000000" w:themeColor="text1"/>
          <w:u w:val="single"/>
        </w:rPr>
        <w:t>得停止供水、供電或封閉、強制拆除</w:t>
      </w:r>
      <w:r w:rsidRPr="007D7B21">
        <w:rPr>
          <w:rFonts w:hint="eastAsia"/>
          <w:color w:val="000000" w:themeColor="text1"/>
        </w:rPr>
        <w:t>。……」。據此，對於校園新建公共建築物以及既有公共建築物應設置無障礙設備及設施，以及不符合前項規定者，各級目的事業主管機關應令其所有權人或管理機關負責人改善。如確有困難者，得提具替代改善計畫，未改善或未提具替代改善計畫或未依核定改善計畫之期限改善完成者除得勒令停止其使用外並有罰則。</w:t>
      </w:r>
    </w:p>
    <w:p w:rsidR="002C37FF" w:rsidRPr="007D7B21" w:rsidRDefault="002C37FF" w:rsidP="002C37FF">
      <w:pPr>
        <w:pStyle w:val="3"/>
        <w:rPr>
          <w:color w:val="000000" w:themeColor="text1"/>
        </w:rPr>
      </w:pPr>
      <w:r w:rsidRPr="007D7B21">
        <w:rPr>
          <w:rFonts w:hint="eastAsia"/>
          <w:color w:val="000000" w:themeColor="text1"/>
        </w:rPr>
        <w:t>另，營建署為便利行動不便者進出及使用建築物，</w:t>
      </w:r>
      <w:r w:rsidRPr="007D7B21">
        <w:rPr>
          <w:rFonts w:hAnsi="標楷體" w:hint="eastAsia"/>
          <w:color w:val="000000" w:themeColor="text1"/>
          <w:szCs w:val="32"/>
        </w:rPr>
        <w:t>自77年12月12日於建築技術規則訂有殘障者使用設施專章，於該專章第170條明定應檢討殘障使用</w:t>
      </w:r>
      <w:r w:rsidRPr="007D7B21">
        <w:rPr>
          <w:rFonts w:hAnsi="標楷體" w:hint="eastAsia"/>
          <w:color w:val="000000" w:themeColor="text1"/>
          <w:szCs w:val="32"/>
        </w:rPr>
        <w:lastRenderedPageBreak/>
        <w:t>設施之種類與適用範圍。</w:t>
      </w:r>
      <w:r w:rsidRPr="007D7B21">
        <w:rPr>
          <w:rFonts w:hAnsi="標楷體" w:hint="eastAsia"/>
          <w:color w:val="000000" w:themeColor="text1"/>
        </w:rPr>
        <w:t>於</w:t>
      </w:r>
      <w:r w:rsidRPr="007D7B21">
        <w:rPr>
          <w:rFonts w:hint="eastAsia"/>
          <w:color w:val="000000" w:themeColor="text1"/>
        </w:rPr>
        <w:t>9</w:t>
      </w:r>
      <w:r w:rsidRPr="007D7B21">
        <w:rPr>
          <w:color w:val="000000" w:themeColor="text1"/>
        </w:rPr>
        <w:t>7</w:t>
      </w:r>
      <w:r w:rsidRPr="007D7B21">
        <w:rPr>
          <w:rFonts w:hint="eastAsia"/>
          <w:color w:val="000000" w:themeColor="text1"/>
        </w:rPr>
        <w:t>年4月訂定「建築物無障礙設施設計規範」，於101年10月1日修正建築技術規則建築設計施工編第10章無障礙建築物相關規定，並於102年1月1日起施行，已明定除例外情況外，新建、增建之公共與非公共建築物均需設置無障礙設施，期能達成全面無障礙化之目標。另，對於既有建築物部分，為使各級目的事業主管機關辦理未符無</w:t>
      </w:r>
      <w:r w:rsidRPr="007D7B21">
        <w:rPr>
          <w:rFonts w:hAnsi="標楷體" w:hint="eastAsia"/>
          <w:color w:val="000000" w:themeColor="text1"/>
          <w:szCs w:val="32"/>
        </w:rPr>
        <w:t>障礙</w:t>
      </w:r>
      <w:r w:rsidRPr="007D7B21">
        <w:rPr>
          <w:rFonts w:hint="eastAsia"/>
          <w:color w:val="000000" w:themeColor="text1"/>
        </w:rPr>
        <w:t>設備及設施設置規定之建築物改善及核定事項有所遵循，以符合身權法第57條第3項規定，於1</w:t>
      </w:r>
      <w:r w:rsidRPr="007D7B21">
        <w:rPr>
          <w:color w:val="000000" w:themeColor="text1"/>
        </w:rPr>
        <w:t>01</w:t>
      </w:r>
      <w:r w:rsidRPr="007D7B21">
        <w:rPr>
          <w:rFonts w:hint="eastAsia"/>
          <w:color w:val="000000" w:themeColor="text1"/>
        </w:rPr>
        <w:t>年5月訂定「既有公共建築物無障礙設施替代改善計畫作業程序及認定原則」（下稱替代改善原則）據以執行，逐步建構無障礙生活環境</w:t>
      </w:r>
      <w:r w:rsidRPr="007D7B21">
        <w:rPr>
          <w:rFonts w:hAnsi="標楷體"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據此，有關校園中之既有建築物如「小學教室、教學大樓、相關教學場所」及「國中、高中（職）、專科學校、學院、大學等之教室、教學大樓、相關教學場所」等，係屬身權法5</w:t>
      </w:r>
      <w:r w:rsidRPr="007D7B21">
        <w:rPr>
          <w:color w:val="000000" w:themeColor="text1"/>
        </w:rPr>
        <w:t>7</w:t>
      </w:r>
      <w:r w:rsidRPr="007D7B21">
        <w:rPr>
          <w:rFonts w:hint="eastAsia"/>
          <w:color w:val="000000" w:themeColor="text1"/>
        </w:rPr>
        <w:t>條所定之</w:t>
      </w:r>
      <w:r w:rsidRPr="007D7B21">
        <w:rPr>
          <w:rFonts w:hint="eastAsia"/>
          <w:b/>
          <w:color w:val="000000" w:themeColor="text1"/>
        </w:rPr>
        <w:t>公共建築物</w:t>
      </w:r>
      <w:r w:rsidRPr="007D7B21">
        <w:rPr>
          <w:rFonts w:hint="eastAsia"/>
          <w:color w:val="000000" w:themeColor="text1"/>
        </w:rPr>
        <w:t>，均應依替代改善原則之規定，進行無障礙設備及設施設置與改善。所有權人或管理機關負責人（各縣市政府教育局、學校）應據替代改善原則第2點規定，就上開校園環境應改善設置之無障礙設施項目包括：室外通路、避難層坡道及扶手、避難層出入口、室內出入口、室內通路走廊、樓梯、昇降設備、廁所盥洗室、輪椅觀眾席位、停車空間等10項，其設置數量為每一建造執照每幢至少必須設置一處。是以，校園環境應依該替代改善原則規定進行各項無障礙設施改善，以利行動不便者進出校園，如有違反身權法</w:t>
      </w:r>
      <w:r w:rsidR="00BD144E" w:rsidRPr="007D7B21">
        <w:rPr>
          <w:rFonts w:hint="eastAsia"/>
          <w:color w:val="000000" w:themeColor="text1"/>
        </w:rPr>
        <w:t>第57條規定之</w:t>
      </w:r>
      <w:r w:rsidRPr="007D7B21">
        <w:rPr>
          <w:rFonts w:hint="eastAsia"/>
          <w:color w:val="000000" w:themeColor="text1"/>
        </w:rPr>
        <w:t>情形，由目的事業主管機關</w:t>
      </w:r>
      <w:r w:rsidR="00BD144E" w:rsidRPr="007D7B21">
        <w:rPr>
          <w:rFonts w:hint="eastAsia"/>
          <w:color w:val="000000" w:themeColor="text1"/>
        </w:rPr>
        <w:t>依同法第88條規定</w:t>
      </w:r>
      <w:r w:rsidRPr="007D7B21">
        <w:rPr>
          <w:rFonts w:hint="eastAsia"/>
          <w:color w:val="000000" w:themeColor="text1"/>
        </w:rPr>
        <w:t>論處，合先敘明。</w:t>
      </w:r>
    </w:p>
    <w:p w:rsidR="002C37FF" w:rsidRPr="007D7B21" w:rsidRDefault="002C37FF" w:rsidP="002C37FF">
      <w:pPr>
        <w:pStyle w:val="2"/>
        <w:rPr>
          <w:color w:val="000000" w:themeColor="text1"/>
        </w:rPr>
      </w:pPr>
      <w:r w:rsidRPr="007D7B21">
        <w:rPr>
          <w:rFonts w:hint="eastAsia"/>
          <w:color w:val="000000" w:themeColor="text1"/>
        </w:rPr>
        <w:t>經查，有關教育部所屬校園（高中、國中、國小）無障礙改善辦理情形，截至</w:t>
      </w:r>
      <w:r w:rsidR="00A33FE2" w:rsidRPr="007D7B21">
        <w:rPr>
          <w:rFonts w:hint="eastAsia"/>
          <w:color w:val="000000" w:themeColor="text1"/>
        </w:rPr>
        <w:t>111年3月30日</w:t>
      </w:r>
      <w:r w:rsidRPr="007D7B21">
        <w:rPr>
          <w:rFonts w:hint="eastAsia"/>
          <w:color w:val="000000" w:themeColor="text1"/>
        </w:rPr>
        <w:t>，「無障礙設</w:t>
      </w:r>
      <w:r w:rsidRPr="007D7B21">
        <w:rPr>
          <w:rFonts w:hint="eastAsia"/>
          <w:color w:val="000000" w:themeColor="text1"/>
        </w:rPr>
        <w:lastRenderedPageBreak/>
        <w:t>施」、「無障礙電梯」及「無障礙停車位」，共計有</w:t>
      </w:r>
      <w:r w:rsidR="003D0202" w:rsidRPr="007D7B21">
        <w:rPr>
          <w:rFonts w:hint="eastAsia"/>
          <w:color w:val="000000" w:themeColor="text1"/>
        </w:rPr>
        <w:t>114,604</w:t>
      </w:r>
      <w:r w:rsidRPr="007D7B21">
        <w:rPr>
          <w:rFonts w:hint="eastAsia"/>
          <w:color w:val="000000" w:themeColor="text1"/>
        </w:rPr>
        <w:t>「處」應設置，15,074「處」需設置惟尚未設置，15,917「處」老舊或未符新規定待改善</w:t>
      </w:r>
      <w:r w:rsidR="00F32679" w:rsidRPr="007D7B21">
        <w:rPr>
          <w:rFonts w:hint="eastAsia"/>
          <w:color w:val="000000" w:themeColor="text1"/>
        </w:rPr>
        <w:t>，不合格率27％</w:t>
      </w:r>
      <w:r w:rsidRPr="007D7B21">
        <w:rPr>
          <w:rFonts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「無障礙設施（室內引導通路、坡道及扶手、避難層出入口、室內出入口、樓梯、廁所盥洗室）」（如表1至表</w:t>
      </w:r>
      <w:r w:rsidR="00F32679" w:rsidRPr="007D7B21">
        <w:rPr>
          <w:rFonts w:hint="eastAsia"/>
          <w:color w:val="000000" w:themeColor="text1"/>
        </w:rPr>
        <w:t>4</w:t>
      </w:r>
      <w:r w:rsidRPr="007D7B21">
        <w:rPr>
          <w:rFonts w:hint="eastAsia"/>
          <w:color w:val="000000" w:themeColor="text1"/>
        </w:rPr>
        <w:t>）共計</w:t>
      </w:r>
      <w:r w:rsidRPr="007D7B21">
        <w:rPr>
          <w:color w:val="000000" w:themeColor="text1"/>
        </w:rPr>
        <w:t>88,475</w:t>
      </w:r>
      <w:r w:rsidRPr="007D7B21">
        <w:rPr>
          <w:rFonts w:hint="eastAsia"/>
          <w:color w:val="000000" w:themeColor="text1"/>
        </w:rPr>
        <w:t>「處」應設置，但需設置惟尚未設置仍有</w:t>
      </w:r>
      <w:r w:rsidRPr="007D7B21">
        <w:rPr>
          <w:color w:val="000000" w:themeColor="text1"/>
        </w:rPr>
        <w:t>9,46</w:t>
      </w:r>
      <w:r w:rsidRPr="007D7B21">
        <w:rPr>
          <w:rFonts w:hint="eastAsia"/>
          <w:color w:val="000000" w:themeColor="text1"/>
        </w:rPr>
        <w:t>4「處」未設置，及因老舊或未符新規定計1</w:t>
      </w:r>
      <w:r w:rsidRPr="007D7B21">
        <w:rPr>
          <w:color w:val="000000" w:themeColor="text1"/>
        </w:rPr>
        <w:t>2,533</w:t>
      </w:r>
      <w:r w:rsidRPr="007D7B21">
        <w:rPr>
          <w:rFonts w:hint="eastAsia"/>
          <w:color w:val="000000" w:themeColor="text1"/>
        </w:rPr>
        <w:t>「處」待改善</w:t>
      </w:r>
      <w:r w:rsidR="00BD144E" w:rsidRPr="007D7B21">
        <w:rPr>
          <w:rFonts w:hint="eastAsia"/>
          <w:color w:val="000000" w:themeColor="text1"/>
        </w:rPr>
        <w:t>，占比</w:t>
      </w:r>
      <w:r w:rsidR="00BD144E" w:rsidRPr="007D7B21">
        <w:rPr>
          <w:color w:val="000000" w:themeColor="text1"/>
        </w:rPr>
        <w:t>24.86</w:t>
      </w:r>
      <w:r w:rsidR="00BD144E" w:rsidRPr="007D7B21">
        <w:rPr>
          <w:rFonts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「無障礙電梯」</w:t>
      </w:r>
      <w:r w:rsidRPr="007D7B21">
        <w:rPr>
          <w:color w:val="000000" w:themeColor="text1"/>
        </w:rPr>
        <w:t>15,</w:t>
      </w:r>
      <w:r w:rsidR="0038528E" w:rsidRPr="007D7B21">
        <w:rPr>
          <w:color w:val="000000" w:themeColor="text1"/>
        </w:rPr>
        <w:t>254</w:t>
      </w:r>
      <w:r w:rsidRPr="007D7B21">
        <w:rPr>
          <w:rFonts w:hint="eastAsia"/>
          <w:color w:val="000000" w:themeColor="text1"/>
        </w:rPr>
        <w:t>「處」應設置，需設置但尚未設置計</w:t>
      </w:r>
      <w:r w:rsidRPr="007D7B21">
        <w:rPr>
          <w:color w:val="000000" w:themeColor="text1"/>
        </w:rPr>
        <w:t>1,441</w:t>
      </w:r>
      <w:r w:rsidRPr="007D7B21">
        <w:rPr>
          <w:rFonts w:hint="eastAsia"/>
          <w:color w:val="000000" w:themeColor="text1"/>
        </w:rPr>
        <w:t>「處」未設置，及因老舊或未符新規定計2</w:t>
      </w:r>
      <w:r w:rsidRPr="007D7B21">
        <w:rPr>
          <w:color w:val="000000" w:themeColor="text1"/>
        </w:rPr>
        <w:t>,563</w:t>
      </w:r>
      <w:r w:rsidRPr="007D7B21">
        <w:rPr>
          <w:rFonts w:hint="eastAsia"/>
          <w:color w:val="000000" w:themeColor="text1"/>
        </w:rPr>
        <w:t>「處」待改善</w:t>
      </w:r>
      <w:r w:rsidR="00BD144E" w:rsidRPr="007D7B21">
        <w:rPr>
          <w:rFonts w:hint="eastAsia"/>
          <w:color w:val="000000" w:themeColor="text1"/>
        </w:rPr>
        <w:t>，占比</w:t>
      </w:r>
      <w:r w:rsidR="00BD144E" w:rsidRPr="007D7B21">
        <w:rPr>
          <w:color w:val="000000" w:themeColor="text1"/>
        </w:rPr>
        <w:t>25.93</w:t>
      </w:r>
      <w:r w:rsidR="00BD144E" w:rsidRPr="007D7B21">
        <w:rPr>
          <w:rFonts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「無障礙停車位」共計</w:t>
      </w:r>
      <w:r w:rsidRPr="007D7B21">
        <w:rPr>
          <w:color w:val="000000" w:themeColor="text1"/>
        </w:rPr>
        <w:t>10,875</w:t>
      </w:r>
      <w:r w:rsidRPr="007D7B21">
        <w:rPr>
          <w:rFonts w:hint="eastAsia"/>
          <w:color w:val="000000" w:themeColor="text1"/>
        </w:rPr>
        <w:t>「處」需設置，需設置但尚未設置計</w:t>
      </w:r>
      <w:r w:rsidRPr="007D7B21">
        <w:rPr>
          <w:color w:val="000000" w:themeColor="text1"/>
        </w:rPr>
        <w:t>4,169</w:t>
      </w:r>
      <w:r w:rsidRPr="007D7B21">
        <w:rPr>
          <w:rFonts w:hint="eastAsia"/>
          <w:color w:val="000000" w:themeColor="text1"/>
        </w:rPr>
        <w:t>「處」未設置，及因老舊或未符新規定計</w:t>
      </w:r>
      <w:r w:rsidRPr="007D7B21">
        <w:rPr>
          <w:color w:val="000000" w:themeColor="text1"/>
        </w:rPr>
        <w:t>821</w:t>
      </w:r>
      <w:r w:rsidRPr="007D7B21">
        <w:rPr>
          <w:rFonts w:hint="eastAsia"/>
          <w:color w:val="000000" w:themeColor="text1"/>
        </w:rPr>
        <w:t>「處」待改善</w:t>
      </w:r>
      <w:r w:rsidR="00BD144E" w:rsidRPr="007D7B21">
        <w:rPr>
          <w:rFonts w:hint="eastAsia"/>
          <w:color w:val="000000" w:themeColor="text1"/>
        </w:rPr>
        <w:t>，占比</w:t>
      </w:r>
      <w:r w:rsidR="00BD144E" w:rsidRPr="007D7B21">
        <w:rPr>
          <w:color w:val="000000" w:themeColor="text1"/>
        </w:rPr>
        <w:t>45.89</w:t>
      </w:r>
      <w:r w:rsidR="00BD144E" w:rsidRPr="007D7B21">
        <w:rPr>
          <w:rFonts w:hint="eastAsia"/>
          <w:color w:val="000000" w:themeColor="text1"/>
        </w:rPr>
        <w:t>％。</w:t>
      </w:r>
    </w:p>
    <w:p w:rsidR="002C37FF" w:rsidRPr="007D7B21" w:rsidRDefault="002C37FF" w:rsidP="002C37FF">
      <w:pPr>
        <w:pStyle w:val="3"/>
        <w:rPr>
          <w:color w:val="000000" w:themeColor="text1"/>
        </w:rPr>
      </w:pPr>
      <w:r w:rsidRPr="007D7B21">
        <w:rPr>
          <w:rFonts w:hint="eastAsia"/>
          <w:color w:val="000000" w:themeColor="text1"/>
        </w:rPr>
        <w:t>上開3種統計中，「無障礙設施」待改善合計2</w:t>
      </w:r>
      <w:r w:rsidRPr="007D7B21">
        <w:rPr>
          <w:color w:val="000000" w:themeColor="text1"/>
        </w:rPr>
        <w:t>1,997</w:t>
      </w:r>
      <w:r w:rsidRPr="007D7B21">
        <w:rPr>
          <w:rFonts w:hint="eastAsia"/>
          <w:color w:val="000000" w:themeColor="text1"/>
        </w:rPr>
        <w:t>處</w:t>
      </w:r>
      <w:r w:rsidRPr="007D7B21">
        <w:rPr>
          <w:rStyle w:val="aff4"/>
          <w:color w:val="000000" w:themeColor="text1"/>
        </w:rPr>
        <w:footnoteReference w:id="3"/>
      </w:r>
      <w:r w:rsidRPr="007D7B21">
        <w:rPr>
          <w:rFonts w:hint="eastAsia"/>
          <w:color w:val="000000" w:themeColor="text1"/>
        </w:rPr>
        <w:t>、「無障礙電梯」待改善合計1</w:t>
      </w:r>
      <w:r w:rsidRPr="007D7B21">
        <w:rPr>
          <w:color w:val="000000" w:themeColor="text1"/>
        </w:rPr>
        <w:t>6,884</w:t>
      </w:r>
      <w:r w:rsidRPr="007D7B21">
        <w:rPr>
          <w:rFonts w:hint="eastAsia"/>
          <w:color w:val="000000" w:themeColor="text1"/>
        </w:rPr>
        <w:t>處、「無障礙停車位」待改善合計2</w:t>
      </w:r>
      <w:r w:rsidRPr="007D7B21">
        <w:rPr>
          <w:color w:val="000000" w:themeColor="text1"/>
        </w:rPr>
        <w:t>,290</w:t>
      </w:r>
      <w:r w:rsidRPr="007D7B21">
        <w:rPr>
          <w:rFonts w:hint="eastAsia"/>
          <w:color w:val="000000" w:themeColor="text1"/>
        </w:rPr>
        <w:t>處；「無障礙設施」、「無障礙電梯」及「無障礙停車位」，共計15,074「處」需設置惟尚未設置，15,917「處」老舊或未符新規定待改善。</w:t>
      </w:r>
    </w:p>
    <w:p w:rsidR="00791CC9" w:rsidRPr="007D7B21" w:rsidRDefault="002C37FF" w:rsidP="002C37FF">
      <w:pPr>
        <w:pStyle w:val="3"/>
        <w:rPr>
          <w:color w:val="000000" w:themeColor="text1"/>
        </w:rPr>
      </w:pPr>
      <w:r w:rsidRPr="007D7B21">
        <w:rPr>
          <w:rFonts w:hint="eastAsia"/>
          <w:color w:val="000000" w:themeColor="text1"/>
        </w:rPr>
        <w:t>依身權法57條第3項，如果設置無障礙設備及設施確有困難者，應由所有權人或管理機關負責人提具替代改善計畫，申報各級目的事業主管機關核定，並核定改善期限，如未依核定改善計畫之期限改善完成者除得勒令停止其使用外並有罰則，規範甚明。相關統計如下各表所列</w:t>
      </w:r>
      <w:r w:rsidRPr="007D7B21">
        <w:rPr>
          <w:rStyle w:val="aff4"/>
          <w:color w:val="000000" w:themeColor="text1"/>
        </w:rPr>
        <w:footnoteReference w:id="4"/>
      </w:r>
      <w:r w:rsidRPr="007D7B21">
        <w:rPr>
          <w:rFonts w:hint="eastAsia"/>
          <w:color w:val="000000" w:themeColor="text1"/>
        </w:rPr>
        <w:t>：</w:t>
      </w:r>
      <w:r w:rsidR="00791CC9" w:rsidRPr="007D7B21">
        <w:rPr>
          <w:color w:val="000000" w:themeColor="text1"/>
        </w:rPr>
        <w:br w:type="page"/>
      </w:r>
    </w:p>
    <w:p w:rsidR="002C37FF" w:rsidRPr="007D7B21" w:rsidRDefault="002C37FF" w:rsidP="002C37FF">
      <w:pPr>
        <w:pStyle w:val="a4"/>
        <w:ind w:left="480" w:hanging="480"/>
        <w:rPr>
          <w:color w:val="000000" w:themeColor="text1"/>
        </w:rPr>
      </w:pPr>
      <w:r w:rsidRPr="007D7B21">
        <w:rPr>
          <w:color w:val="000000" w:themeColor="text1"/>
        </w:rPr>
        <w:lastRenderedPageBreak/>
        <w:t>110</w:t>
      </w:r>
      <w:r w:rsidRPr="007D7B21">
        <w:rPr>
          <w:rFonts w:hint="eastAsia"/>
          <w:color w:val="000000" w:themeColor="text1"/>
        </w:rPr>
        <w:t>年3月各主管機關所屬各教育階段校園無障礙設施概況一覽表</w:t>
      </w:r>
    </w:p>
    <w:tbl>
      <w:tblPr>
        <w:tblW w:w="4922" w:type="pct"/>
        <w:tblInd w:w="137" w:type="dxa"/>
        <w:tblLayout w:type="fixed"/>
        <w:tblCellMar>
          <w:left w:w="28" w:type="dxa"/>
          <w:right w:w="28" w:type="dxa"/>
        </w:tblCellMar>
        <w:tblLook w:val="04A0" w:firstRow="1" w:lastRow="0" w:firstColumn="1" w:lastColumn="0" w:noHBand="0" w:noVBand="1"/>
      </w:tblPr>
      <w:tblGrid>
        <w:gridCol w:w="991"/>
        <w:gridCol w:w="2270"/>
        <w:gridCol w:w="1087"/>
        <w:gridCol w:w="1087"/>
        <w:gridCol w:w="1087"/>
        <w:gridCol w:w="1087"/>
        <w:gridCol w:w="1087"/>
      </w:tblGrid>
      <w:tr w:rsidR="007D7B21" w:rsidRPr="007D7B21" w:rsidTr="002F643A">
        <w:trPr>
          <w:trHeight w:val="454"/>
        </w:trPr>
        <w:tc>
          <w:tcPr>
            <w:tcW w:w="570" w:type="pct"/>
            <w:vMerge w:val="restart"/>
            <w:tcBorders>
              <w:top w:val="single" w:sz="4" w:space="0" w:color="auto"/>
              <w:left w:val="single" w:sz="4" w:space="0" w:color="auto"/>
              <w:right w:val="single" w:sz="4" w:space="0" w:color="auto"/>
            </w:tcBorders>
            <w:shd w:val="clear" w:color="auto" w:fill="FDE9D9" w:themeFill="accent6" w:themeFillTint="33"/>
            <w:vAlign w:val="center"/>
          </w:tcPr>
          <w:p w:rsidR="007B34F5" w:rsidRPr="007D7B21" w:rsidRDefault="007B34F5" w:rsidP="002F643A">
            <w:pPr>
              <w:spacing w:line="280" w:lineRule="exact"/>
              <w:jc w:val="center"/>
              <w:rPr>
                <w:rFonts w:hAnsi="標楷體" w:cs="新細明體"/>
                <w:b/>
                <w:color w:val="000000" w:themeColor="text1"/>
                <w:kern w:val="0"/>
                <w:sz w:val="26"/>
                <w:szCs w:val="26"/>
              </w:rPr>
            </w:pPr>
            <w:r w:rsidRPr="007D7B21">
              <w:rPr>
                <w:rFonts w:hAnsi="標楷體" w:cs="新細明體" w:hint="eastAsia"/>
                <w:b/>
                <w:color w:val="000000" w:themeColor="text1"/>
                <w:kern w:val="0"/>
                <w:sz w:val="26"/>
                <w:szCs w:val="26"/>
              </w:rPr>
              <w:t>項目</w:t>
            </w:r>
          </w:p>
        </w:tc>
        <w:tc>
          <w:tcPr>
            <w:tcW w:w="1305" w:type="pct"/>
            <w:vMerge w:val="restart"/>
            <w:tcBorders>
              <w:top w:val="single" w:sz="4" w:space="0" w:color="auto"/>
              <w:left w:val="single" w:sz="4" w:space="0" w:color="auto"/>
              <w:right w:val="single" w:sz="4" w:space="0" w:color="auto"/>
            </w:tcBorders>
            <w:shd w:val="clear" w:color="auto" w:fill="FDE9D9" w:themeFill="accent6" w:themeFillTint="33"/>
            <w:noWrap/>
            <w:vAlign w:val="center"/>
            <w:hideMark/>
          </w:tcPr>
          <w:p w:rsidR="007B34F5" w:rsidRPr="007D7B21" w:rsidRDefault="007B34F5" w:rsidP="002F643A">
            <w:pPr>
              <w:spacing w:line="280" w:lineRule="exact"/>
              <w:jc w:val="center"/>
              <w:rPr>
                <w:rFonts w:hAnsi="標楷體" w:cs="新細明體"/>
                <w:b/>
                <w:color w:val="000000" w:themeColor="text1"/>
                <w:kern w:val="0"/>
                <w:sz w:val="26"/>
                <w:szCs w:val="26"/>
              </w:rPr>
            </w:pPr>
            <w:r w:rsidRPr="007D7B21">
              <w:rPr>
                <w:rFonts w:hAnsi="標楷體" w:cs="新細明體" w:hint="eastAsia"/>
                <w:b/>
                <w:color w:val="000000" w:themeColor="text1"/>
                <w:kern w:val="0"/>
                <w:sz w:val="26"/>
                <w:szCs w:val="26"/>
              </w:rPr>
              <w:t>教育階段</w:t>
            </w:r>
          </w:p>
        </w:tc>
        <w:tc>
          <w:tcPr>
            <w:tcW w:w="3125" w:type="pct"/>
            <w:gridSpan w:val="5"/>
            <w:tcBorders>
              <w:top w:val="single" w:sz="4" w:space="0" w:color="auto"/>
              <w:left w:val="nil"/>
              <w:bottom w:val="single" w:sz="4" w:space="0" w:color="auto"/>
              <w:right w:val="single" w:sz="4" w:space="0" w:color="auto"/>
            </w:tcBorders>
            <w:shd w:val="clear" w:color="auto" w:fill="FDE9D9" w:themeFill="accent6" w:themeFillTint="33"/>
            <w:vAlign w:val="center"/>
          </w:tcPr>
          <w:p w:rsidR="007B34F5" w:rsidRPr="007D7B21" w:rsidRDefault="007B34F5" w:rsidP="002F643A">
            <w:pPr>
              <w:widowControl/>
              <w:spacing w:line="280" w:lineRule="exact"/>
              <w:jc w:val="center"/>
              <w:rPr>
                <w:rFonts w:hAnsi="標楷體" w:cs="新細明體"/>
                <w:b/>
                <w:color w:val="000000" w:themeColor="text1"/>
                <w:kern w:val="0"/>
                <w:sz w:val="26"/>
                <w:szCs w:val="26"/>
              </w:rPr>
            </w:pPr>
            <w:r w:rsidRPr="007D7B21">
              <w:rPr>
                <w:rFonts w:hAnsi="標楷體" w:cs="新細明體" w:hint="eastAsia"/>
                <w:b/>
                <w:color w:val="000000" w:themeColor="text1"/>
                <w:kern w:val="0"/>
                <w:sz w:val="26"/>
                <w:szCs w:val="26"/>
              </w:rPr>
              <w:t>校園無障礙設施總計</w:t>
            </w:r>
          </w:p>
        </w:tc>
      </w:tr>
      <w:tr w:rsidR="007D7B21" w:rsidRPr="007D7B21" w:rsidTr="002F643A">
        <w:trPr>
          <w:trHeight w:val="454"/>
        </w:trPr>
        <w:tc>
          <w:tcPr>
            <w:tcW w:w="570" w:type="pct"/>
            <w:vMerge/>
            <w:tcBorders>
              <w:left w:val="single" w:sz="4" w:space="0" w:color="auto"/>
              <w:bottom w:val="single" w:sz="4" w:space="0" w:color="auto"/>
              <w:right w:val="single" w:sz="4" w:space="0" w:color="auto"/>
            </w:tcBorders>
            <w:shd w:val="clear" w:color="auto" w:fill="FDE9D9" w:themeFill="accent6" w:themeFillTint="33"/>
          </w:tcPr>
          <w:p w:rsidR="007B34F5" w:rsidRPr="007D7B21" w:rsidRDefault="007B34F5" w:rsidP="002F643A">
            <w:pPr>
              <w:spacing w:line="280" w:lineRule="exact"/>
              <w:jc w:val="center"/>
              <w:rPr>
                <w:rFonts w:hAnsi="標楷體" w:cs="新細明體"/>
                <w:b/>
                <w:color w:val="000000" w:themeColor="text1"/>
                <w:kern w:val="0"/>
                <w:sz w:val="26"/>
                <w:szCs w:val="26"/>
              </w:rPr>
            </w:pPr>
          </w:p>
        </w:tc>
        <w:tc>
          <w:tcPr>
            <w:tcW w:w="1305" w:type="pct"/>
            <w:vMerge/>
            <w:tcBorders>
              <w:left w:val="single" w:sz="4" w:space="0" w:color="auto"/>
              <w:bottom w:val="single" w:sz="4" w:space="0" w:color="auto"/>
              <w:right w:val="single" w:sz="4" w:space="0" w:color="auto"/>
            </w:tcBorders>
            <w:shd w:val="clear" w:color="auto" w:fill="FDE9D9" w:themeFill="accent6" w:themeFillTint="33"/>
            <w:vAlign w:val="center"/>
            <w:hideMark/>
          </w:tcPr>
          <w:p w:rsidR="007B34F5" w:rsidRPr="007D7B21" w:rsidRDefault="007B34F5" w:rsidP="002F643A">
            <w:pPr>
              <w:spacing w:line="280" w:lineRule="exact"/>
              <w:jc w:val="center"/>
              <w:rPr>
                <w:rFonts w:hAnsi="標楷體" w:cs="新細明體"/>
                <w:b/>
                <w:color w:val="000000" w:themeColor="text1"/>
                <w:kern w:val="0"/>
                <w:sz w:val="26"/>
                <w:szCs w:val="26"/>
              </w:rPr>
            </w:pP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B34F5" w:rsidRPr="007D7B21" w:rsidRDefault="007B34F5" w:rsidP="002F643A">
            <w:pPr>
              <w:widowControl/>
              <w:spacing w:line="280" w:lineRule="exact"/>
              <w:jc w:val="center"/>
              <w:rPr>
                <w:rFonts w:hAnsi="標楷體" w:cs="新細明體"/>
                <w:b/>
                <w:color w:val="000000" w:themeColor="text1"/>
                <w:spacing w:val="-20"/>
                <w:kern w:val="0"/>
                <w:sz w:val="26"/>
                <w:szCs w:val="26"/>
              </w:rPr>
            </w:pPr>
            <w:r w:rsidRPr="007D7B21">
              <w:rPr>
                <w:rFonts w:hAnsi="標楷體" w:cs="新細明體" w:hint="eastAsia"/>
                <w:b/>
                <w:color w:val="000000" w:themeColor="text1"/>
                <w:spacing w:val="-20"/>
                <w:kern w:val="0"/>
                <w:sz w:val="26"/>
                <w:szCs w:val="26"/>
              </w:rPr>
              <w:t>應設置數</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B34F5" w:rsidRPr="007D7B21" w:rsidRDefault="007B34F5" w:rsidP="002F643A">
            <w:pPr>
              <w:widowControl/>
              <w:spacing w:line="280" w:lineRule="exact"/>
              <w:jc w:val="center"/>
              <w:rPr>
                <w:rFonts w:hAnsi="標楷體" w:cs="新細明體"/>
                <w:b/>
                <w:color w:val="000000" w:themeColor="text1"/>
                <w:spacing w:val="-20"/>
                <w:kern w:val="0"/>
                <w:sz w:val="26"/>
                <w:szCs w:val="26"/>
              </w:rPr>
            </w:pPr>
            <w:r w:rsidRPr="007D7B21">
              <w:rPr>
                <w:rFonts w:hAnsi="標楷體" w:cs="新細明體" w:hint="eastAsia"/>
                <w:b/>
                <w:color w:val="000000" w:themeColor="text1"/>
                <w:spacing w:val="-20"/>
                <w:kern w:val="0"/>
                <w:sz w:val="26"/>
                <w:szCs w:val="26"/>
              </w:rPr>
              <w:t>已設置數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vAlign w:val="center"/>
          </w:tcPr>
          <w:p w:rsidR="007B34F5" w:rsidRPr="007D7B21" w:rsidRDefault="007B34F5" w:rsidP="002F643A">
            <w:pPr>
              <w:widowControl/>
              <w:spacing w:line="280" w:lineRule="exact"/>
              <w:jc w:val="center"/>
              <w:rPr>
                <w:rFonts w:hAnsi="標楷體" w:cs="新細明體"/>
                <w:b/>
                <w:color w:val="000000" w:themeColor="text1"/>
                <w:kern w:val="0"/>
                <w:sz w:val="26"/>
                <w:szCs w:val="26"/>
              </w:rPr>
            </w:pPr>
            <w:r w:rsidRPr="007D7B21">
              <w:rPr>
                <w:rFonts w:hAnsi="標楷體" w:cs="新細明體" w:hint="eastAsia"/>
                <w:b/>
                <w:color w:val="000000" w:themeColor="text1"/>
                <w:kern w:val="0"/>
                <w:sz w:val="26"/>
                <w:szCs w:val="26"/>
              </w:rPr>
              <w:t>合格數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vAlign w:val="center"/>
          </w:tcPr>
          <w:p w:rsidR="007B34F5" w:rsidRPr="007D7B21" w:rsidRDefault="007B34F5" w:rsidP="002F643A">
            <w:pPr>
              <w:widowControl/>
              <w:spacing w:line="280" w:lineRule="exact"/>
              <w:jc w:val="center"/>
              <w:rPr>
                <w:rFonts w:hAnsi="標楷體" w:cs="新細明體"/>
                <w:b/>
                <w:color w:val="000000" w:themeColor="text1"/>
                <w:spacing w:val="-20"/>
                <w:kern w:val="0"/>
                <w:sz w:val="26"/>
                <w:szCs w:val="26"/>
              </w:rPr>
            </w:pPr>
            <w:r w:rsidRPr="007D7B21">
              <w:rPr>
                <w:rFonts w:hAnsi="標楷體" w:cs="新細明體" w:hint="eastAsia"/>
                <w:b/>
                <w:color w:val="000000" w:themeColor="text1"/>
                <w:spacing w:val="-20"/>
                <w:kern w:val="0"/>
                <w:sz w:val="26"/>
                <w:szCs w:val="26"/>
              </w:rPr>
              <w:t>未設置數</w:t>
            </w:r>
          </w:p>
        </w:tc>
        <w:tc>
          <w:tcPr>
            <w:tcW w:w="625" w:type="pc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7B34F5" w:rsidRPr="007D7B21" w:rsidRDefault="007B34F5" w:rsidP="002F643A">
            <w:pPr>
              <w:widowControl/>
              <w:spacing w:line="280" w:lineRule="exact"/>
              <w:jc w:val="center"/>
              <w:rPr>
                <w:rFonts w:hAnsi="標楷體" w:cs="新細明體"/>
                <w:b/>
                <w:color w:val="000000" w:themeColor="text1"/>
                <w:kern w:val="0"/>
                <w:sz w:val="26"/>
                <w:szCs w:val="26"/>
              </w:rPr>
            </w:pPr>
            <w:r w:rsidRPr="007D7B21">
              <w:rPr>
                <w:rFonts w:hAnsi="標楷體" w:cs="新細明體" w:hint="eastAsia"/>
                <w:b/>
                <w:color w:val="000000" w:themeColor="text1"/>
                <w:kern w:val="0"/>
                <w:sz w:val="26"/>
                <w:szCs w:val="26"/>
              </w:rPr>
              <w:t>待改善</w:t>
            </w:r>
          </w:p>
        </w:tc>
      </w:tr>
      <w:tr w:rsidR="007D7B21" w:rsidRPr="007D7B21" w:rsidTr="002F643A">
        <w:trPr>
          <w:trHeight w:val="397"/>
        </w:trPr>
        <w:tc>
          <w:tcPr>
            <w:tcW w:w="570" w:type="pct"/>
            <w:vMerge w:val="restart"/>
            <w:tcBorders>
              <w:top w:val="nil"/>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無障礙</w:t>
            </w:r>
            <w:r w:rsidRPr="007D7B21">
              <w:rPr>
                <w:rFonts w:hAnsi="標楷體" w:cs="新細明體"/>
                <w:color w:val="000000" w:themeColor="text1"/>
                <w:kern w:val="0"/>
                <w:sz w:val="26"/>
                <w:szCs w:val="26"/>
              </w:rPr>
              <w:br/>
            </w:r>
            <w:r w:rsidRPr="007D7B21">
              <w:rPr>
                <w:rFonts w:hAnsi="標楷體" w:cs="新細明體" w:hint="eastAsia"/>
                <w:color w:val="000000" w:themeColor="text1"/>
                <w:kern w:val="0"/>
                <w:sz w:val="26"/>
                <w:szCs w:val="26"/>
              </w:rPr>
              <w:t>設施</w:t>
            </w: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widowControl/>
              <w:overflowPunct/>
              <w:autoSpaceDE/>
              <w:autoSpaceDN/>
              <w:spacing w:line="280" w:lineRule="exact"/>
              <w:jc w:val="center"/>
              <w:rPr>
                <w:rFonts w:ascii="Times New Roman" w:eastAsia="新細明體"/>
                <w:color w:val="000000" w:themeColor="text1"/>
                <w:kern w:val="0"/>
                <w:sz w:val="26"/>
                <w:szCs w:val="26"/>
              </w:rPr>
            </w:pPr>
            <w:r w:rsidRPr="007D7B21">
              <w:rPr>
                <w:rFonts w:ascii="Times New Roman"/>
                <w:color w:val="000000" w:themeColor="text1"/>
                <w:sz w:val="26"/>
                <w:szCs w:val="26"/>
              </w:rPr>
              <w:t>50,392</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45,360</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38,564</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5,032</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w:t>
            </w:r>
            <w:r w:rsidRPr="007D7B21">
              <w:rPr>
                <w:rFonts w:ascii="Times New Roman" w:hint="eastAsia"/>
                <w:color w:val="000000" w:themeColor="text1"/>
                <w:sz w:val="26"/>
                <w:szCs w:val="26"/>
              </w:rPr>
              <w:t>,</w:t>
            </w:r>
            <w:r w:rsidRPr="007D7B21">
              <w:rPr>
                <w:rFonts w:ascii="Times New Roman"/>
                <w:color w:val="000000" w:themeColor="text1"/>
                <w:sz w:val="26"/>
                <w:szCs w:val="26"/>
              </w:rPr>
              <w:t>796</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19,549</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17,216</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14,337</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2,333</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2,879</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hideMark/>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5,899</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5,282</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4,391</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617</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891</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12,061</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10,617</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8,686</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1,444</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1,931</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574</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536</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500</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38</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36</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88,475</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79,011</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66,478</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9,464</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12,533</w:t>
            </w:r>
          </w:p>
        </w:tc>
      </w:tr>
      <w:tr w:rsidR="007D7B21" w:rsidRPr="007D7B21" w:rsidTr="002F643A">
        <w:trPr>
          <w:trHeight w:val="397"/>
        </w:trPr>
        <w:tc>
          <w:tcPr>
            <w:tcW w:w="570" w:type="pct"/>
            <w:vMerge/>
            <w:tcBorders>
              <w:left w:val="single" w:sz="4" w:space="0" w:color="auto"/>
              <w:bottom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ascii="Times New Roman"/>
                <w:color w:val="000000" w:themeColor="text1"/>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100%</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89.30%</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75.14%</w:t>
            </w:r>
          </w:p>
        </w:tc>
        <w:tc>
          <w:tcPr>
            <w:tcW w:w="1250" w:type="pct"/>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24.86%</w:t>
            </w:r>
          </w:p>
        </w:tc>
      </w:tr>
      <w:tr w:rsidR="007D7B21" w:rsidRPr="007D7B21" w:rsidTr="002F643A">
        <w:trPr>
          <w:trHeight w:val="397"/>
        </w:trPr>
        <w:tc>
          <w:tcPr>
            <w:tcW w:w="570" w:type="pct"/>
            <w:vMerge w:val="restart"/>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無障礙</w:t>
            </w:r>
            <w:r w:rsidRPr="007D7B21">
              <w:rPr>
                <w:rFonts w:hAnsi="標楷體" w:cs="新細明體"/>
                <w:color w:val="000000" w:themeColor="text1"/>
                <w:kern w:val="0"/>
                <w:sz w:val="26"/>
                <w:szCs w:val="26"/>
              </w:rPr>
              <w:br/>
            </w:r>
            <w:r w:rsidRPr="007D7B21">
              <w:rPr>
                <w:rFonts w:hAnsi="標楷體" w:cs="新細明體" w:hint="eastAsia"/>
                <w:color w:val="000000" w:themeColor="text1"/>
                <w:kern w:val="0"/>
                <w:sz w:val="26"/>
                <w:szCs w:val="26"/>
              </w:rPr>
              <w:t>電梯</w:t>
            </w: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widowControl/>
              <w:overflowPunct/>
              <w:autoSpaceDE/>
              <w:autoSpaceDN/>
              <w:spacing w:line="280" w:lineRule="exact"/>
              <w:jc w:val="center"/>
              <w:rPr>
                <w:rFonts w:ascii="Times New Roman" w:eastAsia="新細明體"/>
                <w:color w:val="000000" w:themeColor="text1"/>
                <w:kern w:val="0"/>
                <w:sz w:val="26"/>
                <w:szCs w:val="26"/>
              </w:rPr>
            </w:pPr>
            <w:r w:rsidRPr="007D7B21">
              <w:rPr>
                <w:rFonts w:ascii="Times New Roman"/>
                <w:color w:val="000000" w:themeColor="text1"/>
                <w:sz w:val="26"/>
                <w:szCs w:val="26"/>
              </w:rPr>
              <w:t>8,7</w:t>
            </w:r>
            <w:r w:rsidR="0038528E" w:rsidRPr="007D7B21">
              <w:rPr>
                <w:rFonts w:ascii="Times New Roman"/>
                <w:color w:val="000000" w:themeColor="text1"/>
                <w:sz w:val="26"/>
                <w:szCs w:val="26"/>
              </w:rPr>
              <w:t>17</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8,011</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6,607</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706</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1,404</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3,358</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2,935</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2,425</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423</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510</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1,003</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922</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723</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81</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199</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w:t>
            </w:r>
            <w:r w:rsidR="0038528E" w:rsidRPr="007D7B21">
              <w:rPr>
                <w:rFonts w:ascii="Times New Roman"/>
                <w:color w:val="000000" w:themeColor="text1"/>
                <w:sz w:val="26"/>
                <w:szCs w:val="26"/>
              </w:rPr>
              <w:t>071</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1,850</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1,411</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221</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439</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105</w:t>
            </w:r>
          </w:p>
        </w:tc>
        <w:tc>
          <w:tcPr>
            <w:tcW w:w="625" w:type="pct"/>
            <w:tcBorders>
              <w:top w:val="nil"/>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95</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84</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10</w:t>
            </w:r>
          </w:p>
        </w:tc>
        <w:tc>
          <w:tcPr>
            <w:tcW w:w="625" w:type="pct"/>
            <w:tcBorders>
              <w:top w:val="nil"/>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11</w:t>
            </w:r>
          </w:p>
        </w:tc>
      </w:tr>
      <w:tr w:rsidR="007D7B21" w:rsidRPr="007D7B21" w:rsidTr="002F643A">
        <w:trPr>
          <w:trHeight w:val="397"/>
        </w:trPr>
        <w:tc>
          <w:tcPr>
            <w:tcW w:w="570" w:type="pct"/>
            <w:vMerge/>
            <w:tcBorders>
              <w:left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15,</w:t>
            </w:r>
            <w:r w:rsidR="0038528E" w:rsidRPr="007D7B21">
              <w:rPr>
                <w:rFonts w:ascii="Times New Roman"/>
                <w:color w:val="000000" w:themeColor="text1"/>
                <w:sz w:val="26"/>
                <w:szCs w:val="26"/>
              </w:rPr>
              <w:t>254</w:t>
            </w:r>
          </w:p>
        </w:tc>
        <w:tc>
          <w:tcPr>
            <w:tcW w:w="62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13,813</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11,250</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1,441</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2,563</w:t>
            </w:r>
          </w:p>
        </w:tc>
      </w:tr>
      <w:tr w:rsidR="007D7B21" w:rsidRPr="007D7B21" w:rsidTr="002F643A">
        <w:trPr>
          <w:trHeight w:val="397"/>
        </w:trPr>
        <w:tc>
          <w:tcPr>
            <w:tcW w:w="570" w:type="pct"/>
            <w:vMerge/>
            <w:tcBorders>
              <w:left w:val="single" w:sz="4" w:space="0" w:color="auto"/>
              <w:bottom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ascii="Times New Roman"/>
                <w:color w:val="000000" w:themeColor="text1"/>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100%</w:t>
            </w:r>
          </w:p>
        </w:tc>
        <w:tc>
          <w:tcPr>
            <w:tcW w:w="625" w:type="pct"/>
            <w:tcBorders>
              <w:top w:val="nil"/>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89.45%</w:t>
            </w:r>
          </w:p>
        </w:tc>
        <w:tc>
          <w:tcPr>
            <w:tcW w:w="625" w:type="pct"/>
            <w:tcBorders>
              <w:top w:val="nil"/>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72.85%</w:t>
            </w:r>
          </w:p>
        </w:tc>
        <w:tc>
          <w:tcPr>
            <w:tcW w:w="1250" w:type="pct"/>
            <w:gridSpan w:val="2"/>
            <w:tcBorders>
              <w:top w:val="nil"/>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hint="eastAsia"/>
                <w:color w:val="000000" w:themeColor="text1"/>
                <w:sz w:val="26"/>
                <w:szCs w:val="26"/>
              </w:rPr>
              <w:t>25.93%</w:t>
            </w:r>
          </w:p>
        </w:tc>
      </w:tr>
      <w:tr w:rsidR="007D7B21" w:rsidRPr="007D7B21" w:rsidTr="002F643A">
        <w:trPr>
          <w:trHeight w:val="397"/>
        </w:trPr>
        <w:tc>
          <w:tcPr>
            <w:tcW w:w="570" w:type="pct"/>
            <w:vMerge w:val="restart"/>
            <w:tcBorders>
              <w:top w:val="single" w:sz="4" w:space="0" w:color="auto"/>
              <w:left w:val="single" w:sz="4" w:space="0" w:color="auto"/>
              <w:bottom w:val="single" w:sz="4" w:space="0" w:color="auto"/>
              <w:right w:val="single" w:sz="4" w:space="0" w:color="auto"/>
            </w:tcBorders>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無障礙</w:t>
            </w:r>
            <w:r w:rsidRPr="007D7B21">
              <w:rPr>
                <w:rFonts w:hAnsi="標楷體" w:cs="新細明體"/>
                <w:color w:val="000000" w:themeColor="text1"/>
                <w:kern w:val="0"/>
                <w:sz w:val="26"/>
                <w:szCs w:val="26"/>
              </w:rPr>
              <w:br/>
            </w:r>
            <w:r w:rsidRPr="007D7B21">
              <w:rPr>
                <w:rFonts w:hAnsi="標楷體" w:cs="新細明體" w:hint="eastAsia"/>
                <w:color w:val="000000" w:themeColor="text1"/>
                <w:kern w:val="0"/>
                <w:sz w:val="26"/>
                <w:szCs w:val="26"/>
              </w:rPr>
              <w:t>停車位</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各縣市所屬國小</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widowControl/>
              <w:overflowPunct/>
              <w:autoSpaceDE/>
              <w:autoSpaceDN/>
              <w:spacing w:line="280" w:lineRule="exact"/>
              <w:jc w:val="center"/>
              <w:rPr>
                <w:rFonts w:ascii="Times New Roman" w:eastAsia="新細明體"/>
                <w:color w:val="000000" w:themeColor="text1"/>
                <w:kern w:val="0"/>
                <w:sz w:val="26"/>
                <w:szCs w:val="26"/>
              </w:rPr>
            </w:pPr>
            <w:r w:rsidRPr="007D7B21">
              <w:rPr>
                <w:rFonts w:ascii="Times New Roman"/>
                <w:color w:val="000000" w:themeColor="text1"/>
                <w:sz w:val="26"/>
                <w:szCs w:val="26"/>
              </w:rPr>
              <w:t>6,126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3,797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3,321</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2,329</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476</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各縣市所屬國中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2,473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1,527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1,339</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946</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188</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kern w:val="0"/>
                <w:sz w:val="26"/>
                <w:szCs w:val="26"/>
              </w:rPr>
            </w:pPr>
            <w:r w:rsidRPr="007D7B21">
              <w:rPr>
                <w:rFonts w:hAnsi="標楷體" w:cs="新細明體" w:hint="eastAsia"/>
                <w:color w:val="000000" w:themeColor="text1"/>
                <w:kern w:val="0"/>
                <w:sz w:val="26"/>
                <w:szCs w:val="26"/>
              </w:rPr>
              <w:t>各縣市所屬高中</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815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471</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385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344</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86</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教育部所屬高中職</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1,396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864</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795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532</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69</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widowControl/>
              <w:spacing w:line="280" w:lineRule="exact"/>
              <w:jc w:val="center"/>
              <w:rPr>
                <w:rFonts w:hAnsi="標楷體" w:cs="新細明體"/>
                <w:color w:val="000000" w:themeColor="text1"/>
                <w:spacing w:val="-20"/>
                <w:kern w:val="0"/>
                <w:sz w:val="26"/>
                <w:szCs w:val="26"/>
              </w:rPr>
            </w:pPr>
            <w:r w:rsidRPr="007D7B21">
              <w:rPr>
                <w:rFonts w:hAnsi="標楷體" w:cs="新細明體" w:hint="eastAsia"/>
                <w:color w:val="000000" w:themeColor="text1"/>
                <w:spacing w:val="-20"/>
                <w:kern w:val="0"/>
                <w:sz w:val="26"/>
                <w:szCs w:val="26"/>
              </w:rPr>
              <w:t>教育部所屬特教學校</w:t>
            </w:r>
          </w:p>
        </w:tc>
        <w:tc>
          <w:tcPr>
            <w:tcW w:w="625" w:type="pct"/>
            <w:tcBorders>
              <w:top w:val="single" w:sz="4" w:space="0" w:color="auto"/>
              <w:left w:val="nil"/>
              <w:bottom w:val="single" w:sz="4" w:space="0" w:color="auto"/>
              <w:right w:val="single" w:sz="4" w:space="0" w:color="auto"/>
            </w:tcBorders>
            <w:shd w:val="clear" w:color="auto" w:fill="auto"/>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65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47</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45</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18</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B34F5" w:rsidRPr="007D7B21" w:rsidRDefault="007B34F5" w:rsidP="002F643A">
            <w:pPr>
              <w:spacing w:line="280" w:lineRule="exact"/>
              <w:jc w:val="center"/>
              <w:rPr>
                <w:rFonts w:ascii="Times New Roman"/>
                <w:color w:val="000000" w:themeColor="text1"/>
                <w:sz w:val="26"/>
                <w:szCs w:val="26"/>
              </w:rPr>
            </w:pPr>
            <w:r w:rsidRPr="007D7B21">
              <w:rPr>
                <w:rFonts w:ascii="Times New Roman"/>
                <w:color w:val="000000" w:themeColor="text1"/>
                <w:sz w:val="26"/>
                <w:szCs w:val="26"/>
              </w:rPr>
              <w:t>2</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7B34F5" w:rsidRPr="007D7B21" w:rsidRDefault="007B34F5" w:rsidP="002F643A">
            <w:pPr>
              <w:widowControl/>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合計</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10,875</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6,706</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5,885</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4,169</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821</w:t>
            </w:r>
          </w:p>
        </w:tc>
      </w:tr>
      <w:tr w:rsidR="007D7B21" w:rsidRPr="007D7B21" w:rsidTr="002F643A">
        <w:trPr>
          <w:trHeight w:val="397"/>
        </w:trPr>
        <w:tc>
          <w:tcPr>
            <w:tcW w:w="570" w:type="pct"/>
            <w:vMerge/>
            <w:tcBorders>
              <w:top w:val="single" w:sz="4" w:space="0" w:color="auto"/>
              <w:left w:val="single" w:sz="4" w:space="0" w:color="auto"/>
              <w:bottom w:val="single" w:sz="4" w:space="0" w:color="auto"/>
              <w:right w:val="single" w:sz="4" w:space="0" w:color="auto"/>
            </w:tcBorders>
          </w:tcPr>
          <w:p w:rsidR="007B34F5" w:rsidRPr="007D7B21" w:rsidRDefault="007B34F5" w:rsidP="002F643A">
            <w:pPr>
              <w:widowControl/>
              <w:spacing w:line="280" w:lineRule="exact"/>
              <w:jc w:val="center"/>
              <w:rPr>
                <w:rFonts w:hAnsi="標楷體" w:cs="新細明體"/>
                <w:color w:val="000000" w:themeColor="text1"/>
                <w:kern w:val="0"/>
                <w:sz w:val="26"/>
                <w:szCs w:val="26"/>
              </w:rPr>
            </w:pPr>
          </w:p>
        </w:tc>
        <w:tc>
          <w:tcPr>
            <w:tcW w:w="130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widowControl/>
              <w:spacing w:line="280" w:lineRule="exact"/>
              <w:jc w:val="center"/>
              <w:rPr>
                <w:rFonts w:ascii="Times New Roman"/>
                <w:color w:val="000000" w:themeColor="text1"/>
                <w:kern w:val="0"/>
                <w:sz w:val="26"/>
                <w:szCs w:val="26"/>
              </w:rPr>
            </w:pPr>
            <w:r w:rsidRPr="007D7B21">
              <w:rPr>
                <w:rFonts w:ascii="Times New Roman"/>
                <w:color w:val="000000" w:themeColor="text1"/>
                <w:kern w:val="0"/>
                <w:sz w:val="26"/>
                <w:szCs w:val="26"/>
              </w:rPr>
              <w:t>比率</w:t>
            </w:r>
          </w:p>
        </w:tc>
        <w:tc>
          <w:tcPr>
            <w:tcW w:w="625" w:type="pct"/>
            <w:tcBorders>
              <w:top w:val="single" w:sz="4" w:space="0" w:color="auto"/>
              <w:left w:val="nil"/>
              <w:bottom w:val="single" w:sz="4" w:space="0" w:color="auto"/>
              <w:right w:val="single" w:sz="4" w:space="0" w:color="auto"/>
            </w:tcBorders>
            <w:shd w:val="clear" w:color="auto" w:fill="EAF1DD" w:themeFill="accent3" w:themeFillTint="33"/>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hint="eastAsia"/>
                <w:color w:val="000000" w:themeColor="text1"/>
                <w:sz w:val="26"/>
                <w:szCs w:val="26"/>
              </w:rPr>
              <w:t>100%</w:t>
            </w:r>
          </w:p>
        </w:tc>
        <w:tc>
          <w:tcPr>
            <w:tcW w:w="625" w:type="pct"/>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hint="eastAsia"/>
                <w:color w:val="000000" w:themeColor="text1"/>
                <w:kern w:val="0"/>
                <w:sz w:val="26"/>
                <w:szCs w:val="26"/>
              </w:rPr>
              <w:t>61.66</w:t>
            </w:r>
            <w:r w:rsidRPr="007D7B21">
              <w:rPr>
                <w:rFonts w:ascii="Times New Roman" w:hint="eastAsia"/>
                <w:color w:val="000000" w:themeColor="text1"/>
                <w:sz w:val="26"/>
                <w:szCs w:val="26"/>
              </w:rPr>
              <w:t>%</w:t>
            </w:r>
          </w:p>
        </w:tc>
        <w:tc>
          <w:tcPr>
            <w:tcW w:w="625" w:type="pct"/>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hint="eastAsia"/>
                <w:color w:val="000000" w:themeColor="text1"/>
                <w:kern w:val="0"/>
                <w:sz w:val="26"/>
                <w:szCs w:val="26"/>
              </w:rPr>
              <w:t>54.11</w:t>
            </w:r>
            <w:r w:rsidRPr="007D7B21">
              <w:rPr>
                <w:rFonts w:ascii="Times New Roman" w:hint="eastAsia"/>
                <w:color w:val="000000" w:themeColor="text1"/>
                <w:sz w:val="26"/>
                <w:szCs w:val="26"/>
              </w:rPr>
              <w:t>%</w:t>
            </w:r>
          </w:p>
        </w:tc>
        <w:tc>
          <w:tcPr>
            <w:tcW w:w="1250" w:type="pct"/>
            <w:gridSpan w:val="2"/>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B34F5" w:rsidRPr="007D7B21" w:rsidRDefault="007B34F5" w:rsidP="002F643A">
            <w:pPr>
              <w:spacing w:line="280" w:lineRule="exact"/>
              <w:jc w:val="center"/>
              <w:rPr>
                <w:rFonts w:ascii="Times New Roman"/>
                <w:color w:val="000000" w:themeColor="text1"/>
                <w:kern w:val="0"/>
                <w:sz w:val="26"/>
                <w:szCs w:val="26"/>
              </w:rPr>
            </w:pPr>
            <w:r w:rsidRPr="007D7B21">
              <w:rPr>
                <w:rFonts w:ascii="Times New Roman" w:hint="eastAsia"/>
                <w:color w:val="000000" w:themeColor="text1"/>
                <w:kern w:val="0"/>
                <w:sz w:val="26"/>
                <w:szCs w:val="26"/>
              </w:rPr>
              <w:t>45.89</w:t>
            </w:r>
            <w:r w:rsidRPr="007D7B21">
              <w:rPr>
                <w:rFonts w:ascii="Times New Roman" w:hint="eastAsia"/>
                <w:color w:val="000000" w:themeColor="text1"/>
                <w:sz w:val="26"/>
                <w:szCs w:val="26"/>
              </w:rPr>
              <w:t>%</w:t>
            </w:r>
          </w:p>
        </w:tc>
      </w:tr>
    </w:tbl>
    <w:p w:rsidR="002C37FF" w:rsidRPr="007D7B21" w:rsidRDefault="002C37FF" w:rsidP="002C37FF">
      <w:pPr>
        <w:spacing w:line="280" w:lineRule="exact"/>
        <w:rPr>
          <w:color w:val="000000" w:themeColor="text1"/>
          <w:sz w:val="24"/>
        </w:rPr>
      </w:pPr>
      <w:r w:rsidRPr="007D7B21">
        <w:rPr>
          <w:rFonts w:hint="eastAsia"/>
          <w:color w:val="000000" w:themeColor="text1"/>
          <w:sz w:val="24"/>
        </w:rPr>
        <w:t>註：</w:t>
      </w:r>
    </w:p>
    <w:p w:rsidR="002C37FF" w:rsidRPr="007D7B21" w:rsidRDefault="002C37FF" w:rsidP="002C37FF">
      <w:pPr>
        <w:spacing w:line="280" w:lineRule="exact"/>
        <w:rPr>
          <w:color w:val="000000" w:themeColor="text1"/>
          <w:sz w:val="24"/>
        </w:rPr>
      </w:pPr>
      <w:r w:rsidRPr="007D7B21">
        <w:rPr>
          <w:rFonts w:hint="eastAsia"/>
          <w:color w:val="000000" w:themeColor="text1"/>
          <w:sz w:val="24"/>
        </w:rPr>
        <w:t>1、應設置數：無障礙設施應設置總數量(已設置數+未設置數)。</w:t>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p>
    <w:p w:rsidR="002C37FF" w:rsidRPr="007D7B21" w:rsidRDefault="002C37FF" w:rsidP="002C37FF">
      <w:pPr>
        <w:spacing w:line="280" w:lineRule="exact"/>
        <w:rPr>
          <w:color w:val="000000" w:themeColor="text1"/>
          <w:sz w:val="24"/>
        </w:rPr>
      </w:pPr>
      <w:r w:rsidRPr="007D7B21">
        <w:rPr>
          <w:rFonts w:hint="eastAsia"/>
          <w:color w:val="000000" w:themeColor="text1"/>
          <w:sz w:val="24"/>
        </w:rPr>
        <w:t>2、已設置數：無障礙設施已設置總數量(合格數+待改善數)</w:t>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p>
    <w:p w:rsidR="002C37FF" w:rsidRPr="007D7B21" w:rsidRDefault="002C37FF" w:rsidP="002C37FF">
      <w:pPr>
        <w:spacing w:line="280" w:lineRule="exact"/>
        <w:rPr>
          <w:color w:val="000000" w:themeColor="text1"/>
          <w:sz w:val="24"/>
        </w:rPr>
      </w:pPr>
      <w:r w:rsidRPr="007D7B21">
        <w:rPr>
          <w:rFonts w:hint="eastAsia"/>
          <w:color w:val="000000" w:themeColor="text1"/>
          <w:sz w:val="24"/>
        </w:rPr>
        <w:t xml:space="preserve">    （1）合格數：無障礙設施之合格數量。</w:t>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p>
    <w:p w:rsidR="002C37FF" w:rsidRPr="007D7B21" w:rsidRDefault="002C37FF" w:rsidP="002C37FF">
      <w:pPr>
        <w:spacing w:line="280" w:lineRule="exact"/>
        <w:rPr>
          <w:color w:val="000000" w:themeColor="text1"/>
          <w:sz w:val="24"/>
        </w:rPr>
      </w:pPr>
      <w:r w:rsidRPr="007D7B21">
        <w:rPr>
          <w:rFonts w:hint="eastAsia"/>
          <w:color w:val="000000" w:themeColor="text1"/>
          <w:sz w:val="24"/>
        </w:rPr>
        <w:t xml:space="preserve">    （2）待改善數：因老舊或未符新規定之無障礙設施需改善數量。</w:t>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r w:rsidRPr="007D7B21">
        <w:rPr>
          <w:rFonts w:hint="eastAsia"/>
          <w:color w:val="000000" w:themeColor="text1"/>
          <w:sz w:val="24"/>
        </w:rPr>
        <w:tab/>
      </w:r>
    </w:p>
    <w:p w:rsidR="002C37FF" w:rsidRPr="007D7B21" w:rsidRDefault="00F32679" w:rsidP="002C37FF">
      <w:pPr>
        <w:spacing w:line="280" w:lineRule="exact"/>
        <w:rPr>
          <w:color w:val="000000" w:themeColor="text1"/>
          <w:sz w:val="24"/>
        </w:rPr>
      </w:pPr>
      <w:r w:rsidRPr="007D7B21">
        <w:rPr>
          <w:rFonts w:hint="eastAsia"/>
          <w:color w:val="000000" w:themeColor="text1"/>
          <w:sz w:val="24"/>
        </w:rPr>
        <w:t>3</w:t>
      </w:r>
      <w:r w:rsidR="002C37FF" w:rsidRPr="007D7B21">
        <w:rPr>
          <w:rFonts w:hint="eastAsia"/>
          <w:color w:val="000000" w:themeColor="text1"/>
          <w:sz w:val="24"/>
        </w:rPr>
        <w:t>、未設置數：需設置但尚未設置之無障礙設施數量。</w:t>
      </w:r>
      <w:r w:rsidR="002C37FF" w:rsidRPr="007D7B21">
        <w:rPr>
          <w:rFonts w:hint="eastAsia"/>
          <w:color w:val="000000" w:themeColor="text1"/>
          <w:sz w:val="24"/>
        </w:rPr>
        <w:tab/>
      </w:r>
      <w:r w:rsidR="002C37FF" w:rsidRPr="007D7B21">
        <w:rPr>
          <w:rFonts w:hint="eastAsia"/>
          <w:color w:val="000000" w:themeColor="text1"/>
          <w:sz w:val="24"/>
        </w:rPr>
        <w:tab/>
      </w:r>
      <w:r w:rsidR="002C37FF" w:rsidRPr="007D7B21">
        <w:rPr>
          <w:rFonts w:hint="eastAsia"/>
          <w:color w:val="000000" w:themeColor="text1"/>
          <w:sz w:val="24"/>
        </w:rPr>
        <w:tab/>
      </w:r>
      <w:r w:rsidR="002C37FF" w:rsidRPr="007D7B21">
        <w:rPr>
          <w:rFonts w:hint="eastAsia"/>
          <w:color w:val="000000" w:themeColor="text1"/>
          <w:sz w:val="24"/>
        </w:rPr>
        <w:tab/>
      </w:r>
      <w:r w:rsidR="002C37FF" w:rsidRPr="007D7B21">
        <w:rPr>
          <w:rFonts w:hint="eastAsia"/>
          <w:color w:val="000000" w:themeColor="text1"/>
          <w:sz w:val="24"/>
        </w:rPr>
        <w:tab/>
      </w:r>
    </w:p>
    <w:p w:rsidR="002C37FF" w:rsidRPr="007D7B21" w:rsidRDefault="002C37FF" w:rsidP="002C37FF">
      <w:pPr>
        <w:spacing w:line="280" w:lineRule="exact"/>
        <w:rPr>
          <w:color w:val="000000" w:themeColor="text1"/>
        </w:rPr>
      </w:pPr>
      <w:r w:rsidRPr="007D7B21">
        <w:rPr>
          <w:rFonts w:hint="eastAsia"/>
          <w:color w:val="000000" w:themeColor="text1"/>
          <w:sz w:val="24"/>
        </w:rPr>
        <w:t>資料來源：本院彙整自教育部就本案詢問提供書面說明資料。</w:t>
      </w:r>
      <w:r w:rsidRPr="007D7B21">
        <w:rPr>
          <w:color w:val="000000" w:themeColor="text1"/>
        </w:rPr>
        <w:br/>
      </w:r>
      <w:r w:rsidRPr="007D7B21">
        <w:rPr>
          <w:color w:val="000000" w:themeColor="text1"/>
        </w:rPr>
        <w:br w:type="page"/>
      </w:r>
    </w:p>
    <w:p w:rsidR="002C37FF" w:rsidRPr="007D7B21" w:rsidRDefault="002C37FF" w:rsidP="002C37FF">
      <w:pPr>
        <w:pStyle w:val="a4"/>
        <w:ind w:left="480" w:hanging="480"/>
        <w:rPr>
          <w:color w:val="000000" w:themeColor="text1"/>
        </w:rPr>
      </w:pPr>
      <w:r w:rsidRPr="007D7B21">
        <w:rPr>
          <w:rFonts w:hint="eastAsia"/>
          <w:color w:val="000000" w:themeColor="text1"/>
        </w:rPr>
        <w:lastRenderedPageBreak/>
        <w:t>各主管機關設置「無障礙設施」統計摘要表</w:t>
      </w:r>
    </w:p>
    <w:p w:rsidR="002C37FF" w:rsidRPr="007D7B21" w:rsidRDefault="002C37FF" w:rsidP="002C37FF">
      <w:pPr>
        <w:jc w:val="right"/>
        <w:rPr>
          <w:color w:val="000000" w:themeColor="text1"/>
          <w:sz w:val="28"/>
        </w:rPr>
      </w:pPr>
      <w:r w:rsidRPr="007D7B21">
        <w:rPr>
          <w:rFonts w:hint="eastAsia"/>
          <w:color w:val="000000" w:themeColor="text1"/>
          <w:sz w:val="28"/>
        </w:rPr>
        <w:t>單位：處／％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0"/>
        <w:gridCol w:w="910"/>
        <w:gridCol w:w="910"/>
        <w:gridCol w:w="910"/>
        <w:gridCol w:w="911"/>
        <w:gridCol w:w="911"/>
        <w:gridCol w:w="771"/>
        <w:gridCol w:w="699"/>
      </w:tblGrid>
      <w:tr w:rsidR="007D7B21" w:rsidRPr="007D7B21" w:rsidTr="003431EE">
        <w:trPr>
          <w:trHeight w:val="794"/>
          <w:tblHeader/>
          <w:jc w:val="right"/>
        </w:trPr>
        <w:tc>
          <w:tcPr>
            <w:tcW w:w="417" w:type="pct"/>
            <w:vMerge w:val="restart"/>
            <w:shd w:val="clear" w:color="000000" w:fill="E2EFDA"/>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填報</w:t>
            </w:r>
            <w:r w:rsidRPr="007D7B21">
              <w:rPr>
                <w:rFonts w:hint="eastAsia"/>
                <w:b/>
                <w:color w:val="000000" w:themeColor="text1"/>
                <w:spacing w:val="0"/>
                <w:sz w:val="24"/>
                <w:szCs w:val="24"/>
              </w:rPr>
              <w:br/>
              <w:t>校數</w:t>
            </w:r>
          </w:p>
        </w:tc>
        <w:tc>
          <w:tcPr>
            <w:tcW w:w="4583" w:type="pct"/>
            <w:gridSpan w:val="9"/>
            <w:shd w:val="clear" w:color="000000" w:fill="F8CBAD"/>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無障礙設施</w:t>
            </w:r>
            <w:r w:rsidRPr="007D7B21">
              <w:rPr>
                <w:rFonts w:hint="eastAsia"/>
                <w:b/>
                <w:color w:val="000000" w:themeColor="text1"/>
                <w:spacing w:val="0"/>
                <w:sz w:val="24"/>
                <w:szCs w:val="24"/>
              </w:rPr>
              <w:br/>
            </w:r>
            <w:r w:rsidRPr="007D7B21">
              <w:rPr>
                <w:rFonts w:hint="eastAsia"/>
                <w:b/>
                <w:color w:val="000000" w:themeColor="text1"/>
                <w:sz w:val="24"/>
                <w:szCs w:val="24"/>
              </w:rPr>
              <w:t>（含室內引導通路、坡道及扶手、避難層出入口、室內出入口、樓梯、廁所盥洗室）</w:t>
            </w:r>
          </w:p>
        </w:tc>
      </w:tr>
      <w:tr w:rsidR="007D7B21" w:rsidRPr="007D7B21" w:rsidTr="003431EE">
        <w:trPr>
          <w:trHeight w:val="454"/>
          <w:tblHeader/>
          <w:jc w:val="right"/>
        </w:trPr>
        <w:tc>
          <w:tcPr>
            <w:tcW w:w="417" w:type="pct"/>
            <w:vMerge/>
            <w:vAlign w:val="center"/>
            <w:hideMark/>
          </w:tcPr>
          <w:p w:rsidR="002C37FF" w:rsidRPr="007D7B21" w:rsidRDefault="002C37FF" w:rsidP="003431EE">
            <w:pPr>
              <w:pStyle w:val="140"/>
              <w:jc w:val="center"/>
              <w:rPr>
                <w:b/>
                <w:color w:val="000000" w:themeColor="text1"/>
                <w:spacing w:val="0"/>
                <w:sz w:val="24"/>
                <w:szCs w:val="24"/>
              </w:rPr>
            </w:pPr>
          </w:p>
        </w:tc>
        <w:tc>
          <w:tcPr>
            <w:tcW w:w="543" w:type="pct"/>
            <w:vMerge w:val="restart"/>
            <w:shd w:val="clear" w:color="000000" w:fill="F8CBAD"/>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應設置數</w:t>
            </w:r>
          </w:p>
        </w:tc>
        <w:tc>
          <w:tcPr>
            <w:tcW w:w="3210" w:type="pct"/>
            <w:gridSpan w:val="6"/>
            <w:shd w:val="clear" w:color="000000" w:fill="F8CBAD"/>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已設置數</w:t>
            </w:r>
          </w:p>
        </w:tc>
        <w:tc>
          <w:tcPr>
            <w:tcW w:w="830" w:type="pct"/>
            <w:gridSpan w:val="2"/>
            <w:vMerge w:val="restart"/>
            <w:shd w:val="clear" w:color="000000" w:fill="F8CBAD"/>
            <w:vAlign w:val="center"/>
            <w:hideMark/>
          </w:tcPr>
          <w:p w:rsidR="002C37FF" w:rsidRPr="007D7B21" w:rsidRDefault="002C37FF" w:rsidP="003431EE">
            <w:pPr>
              <w:pStyle w:val="140"/>
              <w:jc w:val="center"/>
              <w:rPr>
                <w:b/>
                <w:color w:val="000000" w:themeColor="text1"/>
                <w:spacing w:val="-10"/>
                <w:sz w:val="24"/>
                <w:szCs w:val="24"/>
              </w:rPr>
            </w:pPr>
            <w:r w:rsidRPr="007D7B21">
              <w:rPr>
                <w:rFonts w:hint="eastAsia"/>
                <w:b/>
                <w:color w:val="000000" w:themeColor="text1"/>
                <w:spacing w:val="-10"/>
                <w:sz w:val="24"/>
                <w:szCs w:val="24"/>
              </w:rPr>
              <w:t>未設置數/率</w:t>
            </w:r>
          </w:p>
        </w:tc>
      </w:tr>
      <w:tr w:rsidR="007D7B21" w:rsidRPr="007D7B21" w:rsidTr="003431EE">
        <w:trPr>
          <w:trHeight w:val="454"/>
          <w:tblHeader/>
          <w:jc w:val="right"/>
        </w:trPr>
        <w:tc>
          <w:tcPr>
            <w:tcW w:w="417" w:type="pct"/>
            <w:vMerge/>
            <w:vAlign w:val="center"/>
            <w:hideMark/>
          </w:tcPr>
          <w:p w:rsidR="002C37FF" w:rsidRPr="007D7B21" w:rsidRDefault="002C37FF" w:rsidP="003431EE">
            <w:pPr>
              <w:pStyle w:val="140"/>
              <w:jc w:val="center"/>
              <w:rPr>
                <w:b/>
                <w:color w:val="000000" w:themeColor="text1"/>
                <w:spacing w:val="0"/>
                <w:sz w:val="24"/>
                <w:szCs w:val="24"/>
              </w:rPr>
            </w:pPr>
          </w:p>
        </w:tc>
        <w:tc>
          <w:tcPr>
            <w:tcW w:w="543" w:type="pct"/>
            <w:vMerge/>
            <w:vAlign w:val="center"/>
            <w:hideMark/>
          </w:tcPr>
          <w:p w:rsidR="002C37FF" w:rsidRPr="007D7B21" w:rsidRDefault="002C37FF" w:rsidP="003431EE">
            <w:pPr>
              <w:pStyle w:val="140"/>
              <w:jc w:val="center"/>
              <w:rPr>
                <w:b/>
                <w:color w:val="000000" w:themeColor="text1"/>
                <w:spacing w:val="0"/>
                <w:sz w:val="24"/>
                <w:szCs w:val="24"/>
              </w:rPr>
            </w:pPr>
          </w:p>
        </w:tc>
        <w:tc>
          <w:tcPr>
            <w:tcW w:w="1070" w:type="pct"/>
            <w:gridSpan w:val="2"/>
            <w:shd w:val="clear" w:color="000000" w:fill="F8CBAD"/>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已設置數/率</w:t>
            </w:r>
          </w:p>
        </w:tc>
        <w:tc>
          <w:tcPr>
            <w:tcW w:w="1070" w:type="pct"/>
            <w:gridSpan w:val="2"/>
            <w:shd w:val="clear" w:color="000000" w:fill="FCE4D6"/>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合格數/率</w:t>
            </w:r>
          </w:p>
        </w:tc>
        <w:tc>
          <w:tcPr>
            <w:tcW w:w="1070" w:type="pct"/>
            <w:gridSpan w:val="2"/>
            <w:shd w:val="clear" w:color="000000" w:fill="FCE4D6"/>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待改善數/率</w:t>
            </w:r>
          </w:p>
        </w:tc>
        <w:tc>
          <w:tcPr>
            <w:tcW w:w="830" w:type="pct"/>
            <w:gridSpan w:val="2"/>
            <w:vMerge/>
            <w:vAlign w:val="center"/>
            <w:hideMark/>
          </w:tcPr>
          <w:p w:rsidR="002C37FF" w:rsidRPr="007D7B21" w:rsidRDefault="002C37FF" w:rsidP="003431EE">
            <w:pPr>
              <w:pStyle w:val="140"/>
              <w:jc w:val="center"/>
              <w:rPr>
                <w:color w:val="000000" w:themeColor="text1"/>
                <w:spacing w:val="0"/>
                <w:sz w:val="24"/>
                <w:szCs w:val="24"/>
              </w:rPr>
            </w:pPr>
          </w:p>
        </w:tc>
      </w:tr>
      <w:tr w:rsidR="007D7B21" w:rsidRPr="007D7B21" w:rsidTr="003431EE">
        <w:trPr>
          <w:trHeight w:val="567"/>
          <w:jc w:val="right"/>
        </w:trPr>
        <w:tc>
          <w:tcPr>
            <w:tcW w:w="417"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3,322</w:t>
            </w:r>
          </w:p>
        </w:tc>
        <w:tc>
          <w:tcPr>
            <w:tcW w:w="543"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88,475</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79,011</w:t>
            </w:r>
          </w:p>
        </w:tc>
        <w:tc>
          <w:tcPr>
            <w:tcW w:w="535" w:type="pct"/>
            <w:shd w:val="clear" w:color="auto" w:fill="auto"/>
            <w:noWrap/>
            <w:vAlign w:val="center"/>
            <w:hideMark/>
          </w:tcPr>
          <w:p w:rsidR="002C37FF" w:rsidRPr="007D7B21" w:rsidRDefault="002C37FF" w:rsidP="00F32679">
            <w:pPr>
              <w:pStyle w:val="140"/>
              <w:rPr>
                <w:color w:val="000000" w:themeColor="text1"/>
                <w:spacing w:val="0"/>
                <w:sz w:val="24"/>
                <w:szCs w:val="24"/>
              </w:rPr>
            </w:pPr>
            <w:r w:rsidRPr="007D7B21">
              <w:rPr>
                <w:rFonts w:hint="eastAsia"/>
                <w:color w:val="000000" w:themeColor="text1"/>
                <w:spacing w:val="0"/>
                <w:sz w:val="24"/>
                <w:szCs w:val="24"/>
              </w:rPr>
              <w:t>89</w:t>
            </w:r>
            <w:r w:rsidR="00F32679" w:rsidRPr="007D7B21">
              <w:rPr>
                <w:rFonts w:hint="eastAsia"/>
                <w:color w:val="000000" w:themeColor="text1"/>
                <w:spacing w:val="0"/>
                <w:sz w:val="24"/>
                <w:szCs w:val="24"/>
              </w:rPr>
              <w:t>％</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66,478</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84</w:t>
            </w:r>
            <w:r w:rsidR="00F32679" w:rsidRPr="007D7B21">
              <w:rPr>
                <w:rFonts w:hint="eastAsia"/>
                <w:color w:val="000000" w:themeColor="text1"/>
                <w:spacing w:val="0"/>
                <w:sz w:val="24"/>
                <w:szCs w:val="24"/>
              </w:rPr>
              <w:t>％</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12,533</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16</w:t>
            </w:r>
            <w:r w:rsidR="00F32679" w:rsidRPr="007D7B21">
              <w:rPr>
                <w:rFonts w:hint="eastAsia"/>
                <w:color w:val="000000" w:themeColor="text1"/>
                <w:spacing w:val="0"/>
                <w:sz w:val="24"/>
                <w:szCs w:val="24"/>
              </w:rPr>
              <w:t>％</w:t>
            </w:r>
          </w:p>
        </w:tc>
        <w:tc>
          <w:tcPr>
            <w:tcW w:w="41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9,464</w:t>
            </w:r>
          </w:p>
        </w:tc>
        <w:tc>
          <w:tcPr>
            <w:tcW w:w="41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11</w:t>
            </w:r>
            <w:r w:rsidR="00F32679" w:rsidRPr="007D7B21">
              <w:rPr>
                <w:rFonts w:hint="eastAsia"/>
                <w:color w:val="000000" w:themeColor="text1"/>
                <w:spacing w:val="0"/>
                <w:sz w:val="24"/>
                <w:szCs w:val="24"/>
              </w:rPr>
              <w:t>％</w:t>
            </w:r>
          </w:p>
        </w:tc>
      </w:tr>
    </w:tbl>
    <w:p w:rsidR="002C37FF" w:rsidRPr="007D7B21" w:rsidRDefault="002C37FF" w:rsidP="002C37FF">
      <w:pPr>
        <w:rPr>
          <w:color w:val="000000" w:themeColor="text1"/>
        </w:rPr>
      </w:pPr>
      <w:r w:rsidRPr="007D7B21">
        <w:rPr>
          <w:rFonts w:hint="eastAsia"/>
          <w:color w:val="000000" w:themeColor="text1"/>
        </w:rPr>
        <w:tab/>
      </w:r>
    </w:p>
    <w:p w:rsidR="002C37FF" w:rsidRPr="007D7B21" w:rsidRDefault="002C37FF" w:rsidP="002C37FF">
      <w:pPr>
        <w:pStyle w:val="a4"/>
        <w:ind w:left="480" w:hanging="480"/>
        <w:rPr>
          <w:color w:val="000000" w:themeColor="text1"/>
        </w:rPr>
      </w:pPr>
      <w:r w:rsidRPr="007D7B21">
        <w:rPr>
          <w:rFonts w:hint="eastAsia"/>
          <w:color w:val="000000" w:themeColor="text1"/>
        </w:rPr>
        <w:t>各主管機關應設置「無障礙電梯」數量統計表</w:t>
      </w:r>
    </w:p>
    <w:p w:rsidR="002C37FF" w:rsidRPr="007D7B21" w:rsidRDefault="002C37FF" w:rsidP="002C37FF">
      <w:pPr>
        <w:jc w:val="right"/>
        <w:rPr>
          <w:color w:val="000000" w:themeColor="text1"/>
          <w:sz w:val="28"/>
        </w:rPr>
      </w:pPr>
      <w:r w:rsidRPr="007D7B21">
        <w:rPr>
          <w:rFonts w:hint="eastAsia"/>
          <w:color w:val="000000" w:themeColor="text1"/>
          <w:sz w:val="28"/>
        </w:rPr>
        <w:t>單位：處／％</w:t>
      </w:r>
    </w:p>
    <w:tbl>
      <w:tblPr>
        <w:tblW w:w="49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1"/>
        <w:gridCol w:w="911"/>
        <w:gridCol w:w="911"/>
        <w:gridCol w:w="911"/>
        <w:gridCol w:w="911"/>
        <w:gridCol w:w="913"/>
        <w:gridCol w:w="771"/>
        <w:gridCol w:w="691"/>
      </w:tblGrid>
      <w:tr w:rsidR="007D7B21" w:rsidRPr="007D7B21" w:rsidTr="003431EE">
        <w:trPr>
          <w:trHeight w:val="454"/>
          <w:tblHeader/>
          <w:jc w:val="right"/>
        </w:trPr>
        <w:tc>
          <w:tcPr>
            <w:tcW w:w="409" w:type="pct"/>
            <w:vMerge w:val="restart"/>
            <w:shd w:val="clear" w:color="000000" w:fill="E2EFDA"/>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填報</w:t>
            </w:r>
            <w:r w:rsidRPr="007D7B21">
              <w:rPr>
                <w:rFonts w:hint="eastAsia"/>
                <w:b/>
                <w:color w:val="000000" w:themeColor="text1"/>
                <w:spacing w:val="0"/>
                <w:sz w:val="24"/>
                <w:szCs w:val="24"/>
              </w:rPr>
              <w:br/>
              <w:t>校數</w:t>
            </w:r>
          </w:p>
        </w:tc>
        <w:tc>
          <w:tcPr>
            <w:tcW w:w="4591" w:type="pct"/>
            <w:gridSpan w:val="9"/>
            <w:shd w:val="clear" w:color="000000" w:fill="FFE699"/>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無障礙電梯</w:t>
            </w:r>
          </w:p>
        </w:tc>
      </w:tr>
      <w:tr w:rsidR="007D7B21" w:rsidRPr="007D7B21" w:rsidTr="003431EE">
        <w:trPr>
          <w:trHeight w:val="454"/>
          <w:tblHeader/>
          <w:jc w:val="right"/>
        </w:trPr>
        <w:tc>
          <w:tcPr>
            <w:tcW w:w="409" w:type="pct"/>
            <w:vMerge/>
            <w:vAlign w:val="center"/>
            <w:hideMark/>
          </w:tcPr>
          <w:p w:rsidR="002C37FF" w:rsidRPr="007D7B21" w:rsidRDefault="002C37FF" w:rsidP="003431EE">
            <w:pPr>
              <w:pStyle w:val="140"/>
              <w:jc w:val="center"/>
              <w:rPr>
                <w:b/>
                <w:color w:val="000000" w:themeColor="text1"/>
                <w:spacing w:val="0"/>
                <w:sz w:val="24"/>
                <w:szCs w:val="24"/>
              </w:rPr>
            </w:pPr>
          </w:p>
        </w:tc>
        <w:tc>
          <w:tcPr>
            <w:tcW w:w="534" w:type="pct"/>
            <w:vMerge w:val="restart"/>
            <w:shd w:val="clear" w:color="000000" w:fill="FFE699"/>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應設置數</w:t>
            </w:r>
          </w:p>
        </w:tc>
        <w:tc>
          <w:tcPr>
            <w:tcW w:w="3245" w:type="pct"/>
            <w:gridSpan w:val="6"/>
            <w:shd w:val="clear" w:color="000000" w:fill="FFE699"/>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已設置數</w:t>
            </w:r>
          </w:p>
        </w:tc>
        <w:tc>
          <w:tcPr>
            <w:tcW w:w="812" w:type="pct"/>
            <w:gridSpan w:val="2"/>
            <w:vMerge w:val="restart"/>
            <w:shd w:val="clear" w:color="000000" w:fill="FFE699"/>
            <w:noWrap/>
            <w:vAlign w:val="center"/>
            <w:hideMark/>
          </w:tcPr>
          <w:p w:rsidR="002C37FF" w:rsidRPr="007D7B21" w:rsidRDefault="002C37FF" w:rsidP="003431EE">
            <w:pPr>
              <w:pStyle w:val="140"/>
              <w:jc w:val="center"/>
              <w:rPr>
                <w:b/>
                <w:color w:val="000000" w:themeColor="text1"/>
                <w:spacing w:val="-10"/>
                <w:sz w:val="24"/>
                <w:szCs w:val="24"/>
              </w:rPr>
            </w:pPr>
            <w:r w:rsidRPr="007D7B21">
              <w:rPr>
                <w:rFonts w:hint="eastAsia"/>
                <w:b/>
                <w:color w:val="000000" w:themeColor="text1"/>
                <w:spacing w:val="-10"/>
                <w:sz w:val="24"/>
                <w:szCs w:val="24"/>
              </w:rPr>
              <w:t>未設置數/率</w:t>
            </w:r>
          </w:p>
        </w:tc>
      </w:tr>
      <w:tr w:rsidR="007D7B21" w:rsidRPr="007D7B21" w:rsidTr="003431EE">
        <w:trPr>
          <w:trHeight w:val="454"/>
          <w:tblHeader/>
          <w:jc w:val="right"/>
        </w:trPr>
        <w:tc>
          <w:tcPr>
            <w:tcW w:w="409" w:type="pct"/>
            <w:vMerge/>
            <w:vAlign w:val="center"/>
            <w:hideMark/>
          </w:tcPr>
          <w:p w:rsidR="002C37FF" w:rsidRPr="007D7B21" w:rsidRDefault="002C37FF" w:rsidP="003431EE">
            <w:pPr>
              <w:pStyle w:val="140"/>
              <w:jc w:val="center"/>
              <w:rPr>
                <w:b/>
                <w:color w:val="000000" w:themeColor="text1"/>
                <w:spacing w:val="0"/>
                <w:sz w:val="24"/>
                <w:szCs w:val="24"/>
              </w:rPr>
            </w:pPr>
          </w:p>
        </w:tc>
        <w:tc>
          <w:tcPr>
            <w:tcW w:w="534" w:type="pct"/>
            <w:vMerge/>
            <w:vAlign w:val="center"/>
            <w:hideMark/>
          </w:tcPr>
          <w:p w:rsidR="002C37FF" w:rsidRPr="007D7B21" w:rsidRDefault="002C37FF" w:rsidP="003431EE">
            <w:pPr>
              <w:pStyle w:val="140"/>
              <w:jc w:val="center"/>
              <w:rPr>
                <w:b/>
                <w:color w:val="000000" w:themeColor="text1"/>
                <w:spacing w:val="0"/>
                <w:sz w:val="24"/>
                <w:szCs w:val="24"/>
              </w:rPr>
            </w:pPr>
          </w:p>
        </w:tc>
        <w:tc>
          <w:tcPr>
            <w:tcW w:w="1081" w:type="pct"/>
            <w:gridSpan w:val="2"/>
            <w:shd w:val="clear" w:color="000000" w:fill="FFE699"/>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已設置數/率</w:t>
            </w:r>
          </w:p>
        </w:tc>
        <w:tc>
          <w:tcPr>
            <w:tcW w:w="1082" w:type="pct"/>
            <w:gridSpan w:val="2"/>
            <w:shd w:val="clear" w:color="000000" w:fill="FFF2CC"/>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合格數/率</w:t>
            </w:r>
          </w:p>
        </w:tc>
        <w:tc>
          <w:tcPr>
            <w:tcW w:w="1082" w:type="pct"/>
            <w:gridSpan w:val="2"/>
            <w:shd w:val="clear" w:color="000000" w:fill="FFF2CC"/>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待改善數/率</w:t>
            </w:r>
          </w:p>
        </w:tc>
        <w:tc>
          <w:tcPr>
            <w:tcW w:w="812" w:type="pct"/>
            <w:gridSpan w:val="2"/>
            <w:vMerge/>
            <w:vAlign w:val="center"/>
            <w:hideMark/>
          </w:tcPr>
          <w:p w:rsidR="002C37FF" w:rsidRPr="007D7B21" w:rsidRDefault="002C37FF" w:rsidP="003431EE">
            <w:pPr>
              <w:pStyle w:val="140"/>
              <w:jc w:val="center"/>
              <w:rPr>
                <w:color w:val="000000" w:themeColor="text1"/>
                <w:spacing w:val="0"/>
                <w:sz w:val="24"/>
                <w:szCs w:val="24"/>
              </w:rPr>
            </w:pPr>
          </w:p>
        </w:tc>
      </w:tr>
      <w:tr w:rsidR="007D7B21" w:rsidRPr="007D7B21" w:rsidTr="003431EE">
        <w:trPr>
          <w:trHeight w:val="567"/>
          <w:jc w:val="right"/>
        </w:trPr>
        <w:tc>
          <w:tcPr>
            <w:tcW w:w="409"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3</w:t>
            </w:r>
            <w:r w:rsidRPr="007D7B21">
              <w:rPr>
                <w:color w:val="000000" w:themeColor="text1"/>
                <w:spacing w:val="0"/>
                <w:sz w:val="24"/>
                <w:szCs w:val="24"/>
              </w:rPr>
              <w:t>,</w:t>
            </w:r>
            <w:r w:rsidRPr="007D7B21">
              <w:rPr>
                <w:rFonts w:hint="eastAsia"/>
                <w:color w:val="000000" w:themeColor="text1"/>
                <w:spacing w:val="0"/>
                <w:sz w:val="24"/>
                <w:szCs w:val="24"/>
              </w:rPr>
              <w:t>322</w:t>
            </w:r>
          </w:p>
        </w:tc>
        <w:tc>
          <w:tcPr>
            <w:tcW w:w="534"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15,</w:t>
            </w:r>
            <w:r w:rsidR="0038528E" w:rsidRPr="007D7B21">
              <w:rPr>
                <w:color w:val="000000" w:themeColor="text1"/>
                <w:spacing w:val="0"/>
                <w:sz w:val="24"/>
                <w:szCs w:val="24"/>
              </w:rPr>
              <w:t>254</w:t>
            </w:r>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13,813</w:t>
            </w:r>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89</w:t>
            </w:r>
            <w:r w:rsidR="00F32679" w:rsidRPr="007D7B21">
              <w:rPr>
                <w:rFonts w:hint="eastAsia"/>
                <w:color w:val="000000" w:themeColor="text1"/>
                <w:spacing w:val="0"/>
                <w:sz w:val="24"/>
                <w:szCs w:val="24"/>
              </w:rPr>
              <w:t>％</w:t>
            </w:r>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11,250</w:t>
            </w:r>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81</w:t>
            </w:r>
            <w:r w:rsidR="00F32679" w:rsidRPr="007D7B21">
              <w:rPr>
                <w:rFonts w:hint="eastAsia"/>
                <w:color w:val="000000" w:themeColor="text1"/>
                <w:spacing w:val="0"/>
                <w:sz w:val="24"/>
                <w:szCs w:val="24"/>
              </w:rPr>
              <w:t>％</w:t>
            </w:r>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bookmarkStart w:id="48" w:name="_Hlk105057072"/>
            <w:r w:rsidRPr="007D7B21">
              <w:rPr>
                <w:rFonts w:hint="eastAsia"/>
                <w:color w:val="000000" w:themeColor="text1"/>
                <w:spacing w:val="0"/>
                <w:sz w:val="24"/>
                <w:szCs w:val="24"/>
              </w:rPr>
              <w:t>2,563</w:t>
            </w:r>
            <w:bookmarkEnd w:id="48"/>
          </w:p>
        </w:tc>
        <w:tc>
          <w:tcPr>
            <w:tcW w:w="54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19</w:t>
            </w:r>
            <w:r w:rsidR="00F32679" w:rsidRPr="007D7B21">
              <w:rPr>
                <w:rFonts w:hint="eastAsia"/>
                <w:color w:val="000000" w:themeColor="text1"/>
                <w:spacing w:val="0"/>
                <w:sz w:val="24"/>
                <w:szCs w:val="24"/>
              </w:rPr>
              <w:t>％</w:t>
            </w:r>
          </w:p>
        </w:tc>
        <w:tc>
          <w:tcPr>
            <w:tcW w:w="406"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1,441</w:t>
            </w:r>
          </w:p>
        </w:tc>
        <w:tc>
          <w:tcPr>
            <w:tcW w:w="406"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9</w:t>
            </w:r>
            <w:r w:rsidR="00F32679" w:rsidRPr="007D7B21">
              <w:rPr>
                <w:rFonts w:hint="eastAsia"/>
                <w:color w:val="000000" w:themeColor="text1"/>
                <w:spacing w:val="0"/>
                <w:sz w:val="24"/>
                <w:szCs w:val="24"/>
              </w:rPr>
              <w:t>％</w:t>
            </w:r>
          </w:p>
        </w:tc>
      </w:tr>
    </w:tbl>
    <w:p w:rsidR="002C37FF" w:rsidRPr="007D7B21" w:rsidRDefault="002C37FF" w:rsidP="002C37FF">
      <w:pPr>
        <w:pStyle w:val="a4"/>
        <w:ind w:left="480" w:hanging="480"/>
        <w:rPr>
          <w:color w:val="000000" w:themeColor="text1"/>
        </w:rPr>
      </w:pPr>
      <w:r w:rsidRPr="007D7B21">
        <w:rPr>
          <w:rFonts w:hint="eastAsia"/>
          <w:color w:val="000000" w:themeColor="text1"/>
        </w:rPr>
        <w:t>各主管機關應設置「無障礙停車位」數量統計表</w:t>
      </w:r>
    </w:p>
    <w:p w:rsidR="002C37FF" w:rsidRPr="007D7B21" w:rsidRDefault="002C37FF" w:rsidP="002C37FF">
      <w:pPr>
        <w:jc w:val="right"/>
        <w:rPr>
          <w:color w:val="000000" w:themeColor="text1"/>
        </w:rPr>
      </w:pPr>
      <w:r w:rsidRPr="007D7B21">
        <w:rPr>
          <w:rFonts w:hint="eastAsia"/>
          <w:color w:val="000000" w:themeColor="text1"/>
          <w:sz w:val="28"/>
        </w:rPr>
        <w:t>單位：處／％</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1"/>
        <w:gridCol w:w="1131"/>
        <w:gridCol w:w="913"/>
        <w:gridCol w:w="913"/>
        <w:gridCol w:w="913"/>
        <w:gridCol w:w="913"/>
        <w:gridCol w:w="913"/>
        <w:gridCol w:w="914"/>
        <w:gridCol w:w="771"/>
        <w:gridCol w:w="710"/>
      </w:tblGrid>
      <w:tr w:rsidR="007D7B21" w:rsidRPr="007D7B21" w:rsidTr="003431EE">
        <w:trPr>
          <w:trHeight w:val="454"/>
          <w:tblHeader/>
        </w:trPr>
        <w:tc>
          <w:tcPr>
            <w:tcW w:w="376" w:type="pct"/>
            <w:vMerge w:val="restart"/>
            <w:shd w:val="clear" w:color="000000" w:fill="E2EFDA"/>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填報</w:t>
            </w:r>
            <w:r w:rsidRPr="007D7B21">
              <w:rPr>
                <w:rFonts w:hint="eastAsia"/>
                <w:b/>
                <w:color w:val="000000" w:themeColor="text1"/>
                <w:spacing w:val="0"/>
                <w:sz w:val="24"/>
                <w:szCs w:val="24"/>
              </w:rPr>
              <w:br/>
              <w:t>校數</w:t>
            </w:r>
          </w:p>
        </w:tc>
        <w:tc>
          <w:tcPr>
            <w:tcW w:w="4624" w:type="pct"/>
            <w:gridSpan w:val="9"/>
            <w:shd w:val="clear" w:color="000000" w:fill="BDD7EE"/>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無障礙停車位（建築物以外區域之無障礙設施）</w:t>
            </w:r>
          </w:p>
        </w:tc>
      </w:tr>
      <w:tr w:rsidR="007D7B21" w:rsidRPr="007D7B21" w:rsidTr="003431EE">
        <w:trPr>
          <w:trHeight w:val="454"/>
          <w:tblHeader/>
        </w:trPr>
        <w:tc>
          <w:tcPr>
            <w:tcW w:w="376" w:type="pct"/>
            <w:vMerge/>
            <w:vAlign w:val="center"/>
            <w:hideMark/>
          </w:tcPr>
          <w:p w:rsidR="002C37FF" w:rsidRPr="007D7B21" w:rsidRDefault="002C37FF" w:rsidP="003431EE">
            <w:pPr>
              <w:pStyle w:val="140"/>
              <w:jc w:val="center"/>
              <w:rPr>
                <w:b/>
                <w:color w:val="000000" w:themeColor="text1"/>
                <w:spacing w:val="0"/>
                <w:sz w:val="24"/>
                <w:szCs w:val="24"/>
              </w:rPr>
            </w:pPr>
          </w:p>
        </w:tc>
        <w:tc>
          <w:tcPr>
            <w:tcW w:w="574" w:type="pct"/>
            <w:vMerge w:val="restart"/>
            <w:shd w:val="clear" w:color="000000" w:fill="BDD7EE"/>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應設置數</w:t>
            </w:r>
          </w:p>
        </w:tc>
        <w:tc>
          <w:tcPr>
            <w:tcW w:w="3209" w:type="pct"/>
            <w:gridSpan w:val="6"/>
            <w:shd w:val="clear" w:color="000000" w:fill="BDD7EE"/>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已設置數</w:t>
            </w:r>
          </w:p>
        </w:tc>
        <w:tc>
          <w:tcPr>
            <w:tcW w:w="841" w:type="pct"/>
            <w:gridSpan w:val="2"/>
            <w:vMerge w:val="restart"/>
            <w:shd w:val="clear" w:color="000000" w:fill="BDD7EE"/>
            <w:vAlign w:val="center"/>
            <w:hideMark/>
          </w:tcPr>
          <w:p w:rsidR="002C37FF" w:rsidRPr="007D7B21" w:rsidRDefault="005F6267" w:rsidP="003431EE">
            <w:pPr>
              <w:pStyle w:val="140"/>
              <w:jc w:val="center"/>
              <w:rPr>
                <w:b/>
                <w:color w:val="000000" w:themeColor="text1"/>
                <w:spacing w:val="-10"/>
                <w:sz w:val="24"/>
                <w:szCs w:val="24"/>
              </w:rPr>
            </w:pPr>
            <w:r w:rsidRPr="007D7B21">
              <w:rPr>
                <w:rFonts w:hint="eastAsia"/>
                <w:b/>
                <w:color w:val="000000" w:themeColor="text1"/>
                <w:spacing w:val="-10"/>
                <w:sz w:val="24"/>
                <w:szCs w:val="24"/>
              </w:rPr>
              <w:t>未設置數/率</w:t>
            </w:r>
          </w:p>
        </w:tc>
      </w:tr>
      <w:tr w:rsidR="007D7B21" w:rsidRPr="007D7B21" w:rsidTr="003431EE">
        <w:trPr>
          <w:trHeight w:val="454"/>
          <w:tblHeader/>
        </w:trPr>
        <w:tc>
          <w:tcPr>
            <w:tcW w:w="376" w:type="pct"/>
            <w:vMerge/>
            <w:vAlign w:val="center"/>
            <w:hideMark/>
          </w:tcPr>
          <w:p w:rsidR="002C37FF" w:rsidRPr="007D7B21" w:rsidRDefault="002C37FF" w:rsidP="003431EE">
            <w:pPr>
              <w:pStyle w:val="140"/>
              <w:jc w:val="center"/>
              <w:rPr>
                <w:b/>
                <w:color w:val="000000" w:themeColor="text1"/>
                <w:spacing w:val="0"/>
                <w:sz w:val="24"/>
                <w:szCs w:val="24"/>
              </w:rPr>
            </w:pPr>
          </w:p>
        </w:tc>
        <w:tc>
          <w:tcPr>
            <w:tcW w:w="574" w:type="pct"/>
            <w:vMerge/>
            <w:vAlign w:val="center"/>
            <w:hideMark/>
          </w:tcPr>
          <w:p w:rsidR="002C37FF" w:rsidRPr="007D7B21" w:rsidRDefault="002C37FF" w:rsidP="003431EE">
            <w:pPr>
              <w:pStyle w:val="140"/>
              <w:jc w:val="center"/>
              <w:rPr>
                <w:b/>
                <w:color w:val="000000" w:themeColor="text1"/>
                <w:spacing w:val="0"/>
                <w:sz w:val="24"/>
                <w:szCs w:val="24"/>
              </w:rPr>
            </w:pPr>
          </w:p>
        </w:tc>
        <w:tc>
          <w:tcPr>
            <w:tcW w:w="1070" w:type="pct"/>
            <w:gridSpan w:val="2"/>
            <w:shd w:val="clear" w:color="000000" w:fill="BDD7EE"/>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已設置總數/率</w:t>
            </w:r>
          </w:p>
        </w:tc>
        <w:tc>
          <w:tcPr>
            <w:tcW w:w="1070" w:type="pct"/>
            <w:gridSpan w:val="2"/>
            <w:shd w:val="clear" w:color="000000" w:fill="DDEBF7"/>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合格數/率</w:t>
            </w:r>
          </w:p>
        </w:tc>
        <w:tc>
          <w:tcPr>
            <w:tcW w:w="1070" w:type="pct"/>
            <w:gridSpan w:val="2"/>
            <w:shd w:val="clear" w:color="000000" w:fill="DDEBF7"/>
            <w:noWrap/>
            <w:vAlign w:val="center"/>
            <w:hideMark/>
          </w:tcPr>
          <w:p w:rsidR="002C37FF" w:rsidRPr="007D7B21" w:rsidRDefault="002C37FF" w:rsidP="003431EE">
            <w:pPr>
              <w:pStyle w:val="140"/>
              <w:jc w:val="center"/>
              <w:rPr>
                <w:b/>
                <w:color w:val="000000" w:themeColor="text1"/>
                <w:spacing w:val="0"/>
                <w:sz w:val="24"/>
                <w:szCs w:val="24"/>
              </w:rPr>
            </w:pPr>
            <w:r w:rsidRPr="007D7B21">
              <w:rPr>
                <w:rFonts w:hint="eastAsia"/>
                <w:b/>
                <w:color w:val="000000" w:themeColor="text1"/>
                <w:spacing w:val="0"/>
                <w:sz w:val="24"/>
                <w:szCs w:val="24"/>
              </w:rPr>
              <w:t>待改善數/率</w:t>
            </w:r>
          </w:p>
        </w:tc>
        <w:tc>
          <w:tcPr>
            <w:tcW w:w="841" w:type="pct"/>
            <w:gridSpan w:val="2"/>
            <w:vMerge/>
            <w:vAlign w:val="center"/>
            <w:hideMark/>
          </w:tcPr>
          <w:p w:rsidR="002C37FF" w:rsidRPr="007D7B21" w:rsidRDefault="002C37FF" w:rsidP="003431EE">
            <w:pPr>
              <w:pStyle w:val="140"/>
              <w:jc w:val="center"/>
              <w:rPr>
                <w:color w:val="000000" w:themeColor="text1"/>
                <w:spacing w:val="0"/>
                <w:sz w:val="24"/>
                <w:szCs w:val="24"/>
              </w:rPr>
            </w:pPr>
          </w:p>
        </w:tc>
      </w:tr>
      <w:tr w:rsidR="007D7B21" w:rsidRPr="007D7B21" w:rsidTr="003431EE">
        <w:trPr>
          <w:trHeight w:val="567"/>
        </w:trPr>
        <w:tc>
          <w:tcPr>
            <w:tcW w:w="376"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3</w:t>
            </w:r>
            <w:r w:rsidRPr="007D7B21">
              <w:rPr>
                <w:color w:val="000000" w:themeColor="text1"/>
                <w:spacing w:val="0"/>
                <w:sz w:val="24"/>
                <w:szCs w:val="24"/>
              </w:rPr>
              <w:t>,</w:t>
            </w:r>
            <w:r w:rsidRPr="007D7B21">
              <w:rPr>
                <w:rFonts w:hint="eastAsia"/>
                <w:color w:val="000000" w:themeColor="text1"/>
                <w:spacing w:val="0"/>
                <w:sz w:val="24"/>
                <w:szCs w:val="24"/>
              </w:rPr>
              <w:t>322</w:t>
            </w:r>
          </w:p>
        </w:tc>
        <w:tc>
          <w:tcPr>
            <w:tcW w:w="574"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10,875</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6,706</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62</w:t>
            </w:r>
            <w:r w:rsidR="00F32679" w:rsidRPr="007D7B21">
              <w:rPr>
                <w:rFonts w:hint="eastAsia"/>
                <w:color w:val="000000" w:themeColor="text1"/>
                <w:spacing w:val="0"/>
                <w:sz w:val="24"/>
                <w:szCs w:val="24"/>
              </w:rPr>
              <w:t>％</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5,885</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88</w:t>
            </w:r>
            <w:r w:rsidR="00F32679" w:rsidRPr="007D7B21">
              <w:rPr>
                <w:rFonts w:hint="eastAsia"/>
                <w:color w:val="000000" w:themeColor="text1"/>
                <w:spacing w:val="0"/>
                <w:sz w:val="24"/>
                <w:szCs w:val="24"/>
              </w:rPr>
              <w:t>％</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821</w:t>
            </w:r>
          </w:p>
        </w:tc>
        <w:tc>
          <w:tcPr>
            <w:tcW w:w="535"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12</w:t>
            </w:r>
            <w:r w:rsidR="00F32679" w:rsidRPr="007D7B21">
              <w:rPr>
                <w:rFonts w:hint="eastAsia"/>
                <w:color w:val="000000" w:themeColor="text1"/>
                <w:spacing w:val="0"/>
                <w:sz w:val="24"/>
                <w:szCs w:val="24"/>
              </w:rPr>
              <w:t>％</w:t>
            </w:r>
          </w:p>
        </w:tc>
        <w:tc>
          <w:tcPr>
            <w:tcW w:w="420"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4,169</w:t>
            </w:r>
          </w:p>
        </w:tc>
        <w:tc>
          <w:tcPr>
            <w:tcW w:w="421" w:type="pct"/>
            <w:shd w:val="clear" w:color="auto" w:fill="auto"/>
            <w:noWrap/>
            <w:vAlign w:val="center"/>
            <w:hideMark/>
          </w:tcPr>
          <w:p w:rsidR="002C37FF" w:rsidRPr="007D7B21" w:rsidRDefault="002C37FF" w:rsidP="003431EE">
            <w:pPr>
              <w:pStyle w:val="140"/>
              <w:jc w:val="center"/>
              <w:rPr>
                <w:color w:val="000000" w:themeColor="text1"/>
                <w:spacing w:val="0"/>
                <w:sz w:val="24"/>
                <w:szCs w:val="24"/>
              </w:rPr>
            </w:pPr>
            <w:r w:rsidRPr="007D7B21">
              <w:rPr>
                <w:rFonts w:hint="eastAsia"/>
                <w:color w:val="000000" w:themeColor="text1"/>
                <w:spacing w:val="0"/>
                <w:sz w:val="24"/>
                <w:szCs w:val="24"/>
              </w:rPr>
              <w:t>38</w:t>
            </w:r>
            <w:r w:rsidR="00F32679" w:rsidRPr="007D7B21">
              <w:rPr>
                <w:rFonts w:hint="eastAsia"/>
                <w:color w:val="000000" w:themeColor="text1"/>
                <w:spacing w:val="0"/>
                <w:sz w:val="24"/>
                <w:szCs w:val="24"/>
              </w:rPr>
              <w:t>％</w:t>
            </w:r>
          </w:p>
        </w:tc>
      </w:tr>
    </w:tbl>
    <w:p w:rsidR="002C37FF" w:rsidRPr="007D7B21" w:rsidRDefault="002C37FF" w:rsidP="002C37FF">
      <w:pPr>
        <w:spacing w:line="280" w:lineRule="exact"/>
        <w:rPr>
          <w:color w:val="000000" w:themeColor="text1"/>
        </w:rPr>
      </w:pPr>
    </w:p>
    <w:p w:rsidR="002C37FF" w:rsidRPr="007D7B21" w:rsidRDefault="002C37FF" w:rsidP="002C37FF">
      <w:pPr>
        <w:pStyle w:val="2"/>
        <w:rPr>
          <w:color w:val="000000" w:themeColor="text1"/>
        </w:rPr>
      </w:pPr>
      <w:r w:rsidRPr="007D7B21">
        <w:rPr>
          <w:rFonts w:hint="eastAsia"/>
          <w:color w:val="000000" w:themeColor="text1"/>
        </w:rPr>
        <w:t>另查教育部所屬學校、各縣市之國民教育階段（國小、國中、高中）校園應設置「無障礙設施（室內引導通路、坡道及扶手、避難層出入口、室內出入口、樓梯、廁所盥洗室等6項）」、無障礙電梯，詢據國教署說明檢討與辦理情形：</w:t>
      </w:r>
    </w:p>
    <w:p w:rsidR="002C37FF" w:rsidRPr="007D7B21" w:rsidRDefault="002C37FF" w:rsidP="002C37FF">
      <w:pPr>
        <w:pStyle w:val="3"/>
        <w:rPr>
          <w:color w:val="000000" w:themeColor="text1"/>
        </w:rPr>
      </w:pPr>
      <w:r w:rsidRPr="007D7B21">
        <w:rPr>
          <w:rFonts w:hint="eastAsia"/>
          <w:color w:val="000000" w:themeColor="text1"/>
        </w:rPr>
        <w:t>國教署請各直轄市、縣市政府所屬學校及轄屬各校應定期至教育部特殊教育通報網「無障礙校園環境管理系統」填報「校園無障礙設施」情形，其中對</w:t>
      </w:r>
      <w:r w:rsidRPr="007D7B21">
        <w:rPr>
          <w:rFonts w:hint="eastAsia"/>
          <w:color w:val="000000" w:themeColor="text1"/>
        </w:rPr>
        <w:lastRenderedPageBreak/>
        <w:t>於「無障礙設施」，該系統定義為：室內引導通路、坡道及扶手、避難層出入口、室內出入口、樓梯、廁所盥洗室等6項。各縣市</w:t>
      </w:r>
      <w:bookmarkStart w:id="49" w:name="_Hlk113438666"/>
      <w:r w:rsidR="00F32679" w:rsidRPr="007D7B21">
        <w:rPr>
          <w:rFonts w:hint="eastAsia"/>
          <w:color w:val="000000" w:themeColor="text1"/>
        </w:rPr>
        <w:t>設置情形</w:t>
      </w:r>
      <w:bookmarkEnd w:id="49"/>
      <w:r w:rsidRPr="007D7B21">
        <w:rPr>
          <w:rFonts w:hint="eastAsia"/>
          <w:color w:val="000000" w:themeColor="text1"/>
        </w:rPr>
        <w:t>統計如下：</w:t>
      </w:r>
    </w:p>
    <w:p w:rsidR="002C37FF" w:rsidRPr="007D7B21" w:rsidRDefault="002C37FF" w:rsidP="002C37FF">
      <w:pPr>
        <w:pStyle w:val="4"/>
        <w:rPr>
          <w:color w:val="000000" w:themeColor="text1"/>
        </w:rPr>
      </w:pPr>
      <w:r w:rsidRPr="007D7B21">
        <w:rPr>
          <w:rFonts w:hint="eastAsia"/>
          <w:color w:val="000000" w:themeColor="text1"/>
        </w:rPr>
        <w:t>整體無障礙已設置率</w:t>
      </w:r>
      <w:r w:rsidR="00F32679" w:rsidRPr="007D7B21">
        <w:rPr>
          <w:rFonts w:hint="eastAsia"/>
          <w:color w:val="000000" w:themeColor="text1"/>
        </w:rPr>
        <w:t>，</w:t>
      </w:r>
      <w:r w:rsidRPr="007D7B21">
        <w:rPr>
          <w:rFonts w:hint="eastAsia"/>
          <w:color w:val="000000" w:themeColor="text1"/>
        </w:rPr>
        <w:t>排名依序為新竹縣（99%）、金門縣（97%）、彰化縣（96%）、嘉義市（95%）、臺北市（94%）、屏東縣（93%）、新北市（92%）、臺中市（92%）、苗栗縣（92%）、嘉義縣（92%）、雲林縣（91%）、基隆市（91%）、澎湖縣（89%）、教育部（88%）、宜蘭縣（88%）、南投縣（87%）、臺南市（86%）、新竹市（85%）、高雄市（84%）、花蓮縣（83%）、桃園市（82%）、臺東縣（82%）、連江縣（79%）。</w:t>
      </w:r>
    </w:p>
    <w:p w:rsidR="002C37FF" w:rsidRPr="007D7B21" w:rsidRDefault="002C37FF" w:rsidP="002C37FF">
      <w:pPr>
        <w:pStyle w:val="4"/>
        <w:rPr>
          <w:color w:val="000000" w:themeColor="text1"/>
        </w:rPr>
      </w:pPr>
      <w:r w:rsidRPr="007D7B21">
        <w:rPr>
          <w:rFonts w:hint="eastAsia"/>
          <w:color w:val="000000" w:themeColor="text1"/>
        </w:rPr>
        <w:t>另已設置之無障礙設施待改善率</w:t>
      </w:r>
      <w:r w:rsidR="00F32679" w:rsidRPr="007D7B21">
        <w:rPr>
          <w:rFonts w:hint="eastAsia"/>
          <w:color w:val="000000" w:themeColor="text1"/>
        </w:rPr>
        <w:t>，</w:t>
      </w:r>
      <w:r w:rsidRPr="007D7B21">
        <w:rPr>
          <w:rFonts w:hint="eastAsia"/>
          <w:color w:val="000000" w:themeColor="text1"/>
        </w:rPr>
        <w:t>排名依序為宜蘭縣（37%）、臺東縣（27%）、桃園市（22%）、南投縣（22%）、屏東縣（22%）、花蓮縣（22%）、連江縣（19%）、教育部（18%）、新北市（18%）、新竹市（18%）、新竹縣（18%）、臺南市（16%）、苗栗縣（15%）、高雄市（14%）、臺中市（12%）、雲林縣（12%）、臺北市（8%）、嘉義市（7%）、嘉義縣（7%）、基隆市（6%）、彰化縣（5%）、澎湖縣（4%）、金門縣（3%）。</w:t>
      </w:r>
    </w:p>
    <w:p w:rsidR="002C37FF" w:rsidRPr="007D7B21" w:rsidRDefault="002C37FF" w:rsidP="002C37FF">
      <w:pPr>
        <w:pStyle w:val="4"/>
        <w:rPr>
          <w:color w:val="000000" w:themeColor="text1"/>
        </w:rPr>
      </w:pPr>
      <w:r w:rsidRPr="007D7B21">
        <w:rPr>
          <w:rFonts w:hint="eastAsia"/>
          <w:color w:val="000000" w:themeColor="text1"/>
        </w:rPr>
        <w:t>經教育部統計至110年3月，全國高級中等以下學校無障礙設施部分（含室內引導通路、坡道及扶手、避難層出入口、室內出入口、樓梯、廁所盥洗室），計有12,533處待改善、9,464處未設置，無障礙電梯部分2,563處待改善、1,441處未設置，無障礙停車位（建築物以外區域之無障礙設施）計有821處待改善、4,169處未設置。上開統計數據，係由學校填報，非實地會勘所填之數據，且仍有部分學校未填報，國教署復稱，後續規劃</w:t>
      </w:r>
      <w:r w:rsidRPr="007D7B21">
        <w:rPr>
          <w:rFonts w:hint="eastAsia"/>
          <w:color w:val="000000" w:themeColor="text1"/>
        </w:rPr>
        <w:lastRenderedPageBreak/>
        <w:t>請各地方政府重新盤點，並應督導所屬學校成立無障礙諮詢小組，定期檢視校內無障礙設施設備建置是否符合法令及學生需求，並規劃可行之替代調整或改善方案。各縣市應擬訂整體改善計畫及當年度改善計畫，並經營建、工程單位及相關專家審查通過，排定補助之優先順序。</w:t>
      </w:r>
    </w:p>
    <w:p w:rsidR="002C37FF" w:rsidRPr="007D7B21" w:rsidRDefault="002C37FF" w:rsidP="002C37FF">
      <w:pPr>
        <w:pStyle w:val="4"/>
        <w:rPr>
          <w:color w:val="000000" w:themeColor="text1"/>
        </w:rPr>
      </w:pPr>
      <w:r w:rsidRPr="007D7B21">
        <w:rPr>
          <w:rFonts w:hint="eastAsia"/>
          <w:color w:val="000000" w:themeColor="text1"/>
        </w:rPr>
        <w:t>因目前國教署正在進行教育部特殊教育通報網優化及移機等事情，待教育部特殊教育通報網建置完成後，將請各地方政府督導學校應依盤點後之校園無障礙設施情形確實填報，並擬訂整體改善計畫及期程，俾利教育部國教署協助補助經費改善。</w:t>
      </w:r>
    </w:p>
    <w:p w:rsidR="002C37FF" w:rsidRPr="007D7B21" w:rsidRDefault="002C37FF" w:rsidP="002C37FF">
      <w:pPr>
        <w:pStyle w:val="3"/>
        <w:rPr>
          <w:color w:val="000000" w:themeColor="text1"/>
        </w:rPr>
      </w:pPr>
      <w:r w:rsidRPr="007D7B21">
        <w:rPr>
          <w:rFonts w:hint="eastAsia"/>
          <w:color w:val="000000" w:themeColor="text1"/>
        </w:rPr>
        <w:t>無障礙電梯，整體合格率排名依序為金門縣（93%）、澎湖縣（93%）、彰化縣（92%）、連江縣（89%）、臺北市（88%）、嘉義市（87%）、高雄市（86%）、基隆市（86%）、新北市（85%）、臺中市（85%）、嘉義縣（85%）、臺南市（84%）、雲林縣（84%）、苗栗縣（83%）、新竹市（82%）、桃園市（80%）、屏東縣（80%）、教育部（77%）、花蓮縣（76%）、南投縣（75%）、新竹縣（72%）、臺東縣（69%）、宜蘭縣（49%），其中有17個縣市合格率已達80%以上。</w:t>
      </w:r>
    </w:p>
    <w:p w:rsidR="002C37FF" w:rsidRPr="007D7B21" w:rsidRDefault="002C37FF" w:rsidP="002C37FF">
      <w:pPr>
        <w:pStyle w:val="3"/>
        <w:rPr>
          <w:color w:val="000000" w:themeColor="text1"/>
        </w:rPr>
      </w:pPr>
      <w:r w:rsidRPr="007D7B21">
        <w:rPr>
          <w:rFonts w:hint="eastAsia"/>
          <w:color w:val="000000" w:themeColor="text1"/>
        </w:rPr>
        <w:t>教育部國教署將持續督導學校及縣市政府改善，依學校建築現況，至少規劃建置一條完整垂直水平、暢通且安全之無障礙通路，以符合學生上課所需。學校如有輪椅生等行動不便者之教室安排，應優先安排於</w:t>
      </w:r>
      <w:r w:rsidR="005921E4" w:rsidRPr="007D7B21">
        <w:rPr>
          <w:rFonts w:hint="eastAsia"/>
          <w:color w:val="000000" w:themeColor="text1"/>
        </w:rPr>
        <w:t>1</w:t>
      </w:r>
      <w:r w:rsidRPr="007D7B21">
        <w:rPr>
          <w:rFonts w:hint="eastAsia"/>
          <w:color w:val="000000" w:themeColor="text1"/>
        </w:rPr>
        <w:t>樓教室，並檢視是否有完備之設施（如廁所、通路等），以利其就學，並考量身心障礙學生之實際需求並予以協助。</w:t>
      </w:r>
    </w:p>
    <w:p w:rsidR="002C37FF" w:rsidRPr="007D7B21" w:rsidRDefault="002C37FF" w:rsidP="002C37FF">
      <w:pPr>
        <w:pStyle w:val="2"/>
        <w:rPr>
          <w:color w:val="000000" w:themeColor="text1"/>
        </w:rPr>
      </w:pPr>
      <w:r w:rsidRPr="007D7B21">
        <w:rPr>
          <w:rFonts w:hint="eastAsia"/>
          <w:color w:val="000000" w:themeColor="text1"/>
        </w:rPr>
        <w:t>經核，教育部為瞭解高級中等以下學校無障礙改善情形，函請各直轄市、縣市政府所屬學校及轄屬各校定</w:t>
      </w:r>
      <w:r w:rsidRPr="007D7B21">
        <w:rPr>
          <w:rFonts w:hint="eastAsia"/>
          <w:color w:val="000000" w:themeColor="text1"/>
        </w:rPr>
        <w:lastRenderedPageBreak/>
        <w:t>期至教育部特殊教育通報網「無障礙校園環境管理系統」填報校園無障礙設施情形。</w:t>
      </w:r>
      <w:r w:rsidR="009A3995" w:rsidRPr="007D7B21">
        <w:rPr>
          <w:rFonts w:hint="eastAsia"/>
          <w:color w:val="000000" w:themeColor="text1"/>
        </w:rPr>
        <w:t>經比較教育部110年12月7日臺教授國部字第1100158466號函報之「108年度各直轄市、縣市政府所屬國中、小與高中職校園無障礙設施之數量統計一覽表」（統計至108年底），及該部111年4月1日到院說明之書面說明資料（統計至111年3月），</w:t>
      </w:r>
      <w:bookmarkStart w:id="50" w:name="_Hlk114647829"/>
      <w:r w:rsidR="009A3995" w:rsidRPr="007D7B21">
        <w:rPr>
          <w:rFonts w:hint="eastAsia"/>
          <w:color w:val="000000" w:themeColor="text1"/>
        </w:rPr>
        <w:t>應設置數自</w:t>
      </w:r>
      <w:r w:rsidR="009A3995" w:rsidRPr="007D7B21">
        <w:rPr>
          <w:color w:val="000000" w:themeColor="text1"/>
        </w:rPr>
        <w:t>121,606</w:t>
      </w:r>
      <w:r w:rsidR="009A3995" w:rsidRPr="007D7B21">
        <w:rPr>
          <w:rFonts w:hint="eastAsia"/>
          <w:color w:val="000000" w:themeColor="text1"/>
        </w:rPr>
        <w:t>處改變為</w:t>
      </w:r>
      <w:r w:rsidR="009A3995" w:rsidRPr="007D7B21">
        <w:rPr>
          <w:rFonts w:hAnsi="標楷體"/>
          <w:color w:val="000000" w:themeColor="text1"/>
          <w:szCs w:val="32"/>
          <w:lang w:eastAsia="zh-HK"/>
        </w:rPr>
        <w:t>114,604</w:t>
      </w:r>
      <w:r w:rsidR="009A3995" w:rsidRPr="007D7B21">
        <w:rPr>
          <w:rFonts w:hint="eastAsia"/>
          <w:color w:val="000000" w:themeColor="text1"/>
        </w:rPr>
        <w:t>處，未設置數</w:t>
      </w:r>
      <w:r w:rsidR="009A3995" w:rsidRPr="007D7B21">
        <w:rPr>
          <w:rFonts w:hint="eastAsia"/>
          <w:color w:val="000000" w:themeColor="text1"/>
        </w:rPr>
        <w:tab/>
        <w:t>自</w:t>
      </w:r>
      <w:r w:rsidR="009A3995" w:rsidRPr="007D7B21">
        <w:rPr>
          <w:color w:val="000000" w:themeColor="text1"/>
        </w:rPr>
        <w:t>24,143</w:t>
      </w:r>
      <w:r w:rsidR="009A3995" w:rsidRPr="007D7B21">
        <w:rPr>
          <w:rFonts w:hint="eastAsia"/>
          <w:color w:val="000000" w:themeColor="text1"/>
        </w:rPr>
        <w:t>處改變為</w:t>
      </w:r>
      <w:r w:rsidR="009A3995" w:rsidRPr="007D7B21">
        <w:rPr>
          <w:rFonts w:hAnsi="標楷體" w:hint="eastAsia"/>
          <w:color w:val="000000" w:themeColor="text1"/>
          <w:szCs w:val="32"/>
          <w:lang w:eastAsia="zh-HK"/>
        </w:rPr>
        <w:t>15,074</w:t>
      </w:r>
      <w:r w:rsidR="009A3995" w:rsidRPr="007D7B21">
        <w:rPr>
          <w:rFonts w:hint="eastAsia"/>
          <w:color w:val="000000" w:themeColor="text1"/>
        </w:rPr>
        <w:t>處，合格數</w:t>
      </w:r>
      <w:r w:rsidR="009A3995" w:rsidRPr="007D7B21">
        <w:rPr>
          <w:rFonts w:hint="eastAsia"/>
          <w:color w:val="000000" w:themeColor="text1"/>
        </w:rPr>
        <w:tab/>
        <w:t>自81</w:t>
      </w:r>
      <w:r w:rsidR="009A3995" w:rsidRPr="007D7B21">
        <w:rPr>
          <w:color w:val="000000" w:themeColor="text1"/>
        </w:rPr>
        <w:t>,</w:t>
      </w:r>
      <w:r w:rsidR="009A3995" w:rsidRPr="007D7B21">
        <w:rPr>
          <w:rFonts w:hint="eastAsia"/>
          <w:color w:val="000000" w:themeColor="text1"/>
        </w:rPr>
        <w:t>582處改變為</w:t>
      </w:r>
      <w:r w:rsidR="009A3995" w:rsidRPr="007D7B21">
        <w:rPr>
          <w:color w:val="000000" w:themeColor="text1"/>
        </w:rPr>
        <w:t>8</w:t>
      </w:r>
      <w:r w:rsidR="009A3995" w:rsidRPr="007D7B21">
        <w:rPr>
          <w:rFonts w:hint="eastAsia"/>
          <w:color w:val="000000" w:themeColor="text1"/>
        </w:rPr>
        <w:t>3</w:t>
      </w:r>
      <w:r w:rsidR="009A3995" w:rsidRPr="007D7B21">
        <w:rPr>
          <w:color w:val="000000" w:themeColor="text1"/>
        </w:rPr>
        <w:t>,</w:t>
      </w:r>
      <w:r w:rsidR="009A3995" w:rsidRPr="007D7B21">
        <w:rPr>
          <w:rFonts w:hint="eastAsia"/>
          <w:color w:val="000000" w:themeColor="text1"/>
        </w:rPr>
        <w:t>613處</w:t>
      </w:r>
      <w:r w:rsidR="009A3995" w:rsidRPr="007D7B21">
        <w:rPr>
          <w:rFonts w:hint="eastAsia"/>
          <w:color w:val="000000" w:themeColor="text1"/>
        </w:rPr>
        <w:tab/>
        <w:t>，待改善數</w:t>
      </w:r>
      <w:r w:rsidR="009A3995" w:rsidRPr="007D7B21">
        <w:rPr>
          <w:rFonts w:hint="eastAsia"/>
          <w:color w:val="000000" w:themeColor="text1"/>
        </w:rPr>
        <w:tab/>
        <w:t>自</w:t>
      </w:r>
      <w:r w:rsidR="009A3995" w:rsidRPr="007D7B21">
        <w:rPr>
          <w:color w:val="000000" w:themeColor="text1"/>
        </w:rPr>
        <w:t>15,881</w:t>
      </w:r>
      <w:r w:rsidR="009A3995" w:rsidRPr="007D7B21">
        <w:rPr>
          <w:rFonts w:hint="eastAsia"/>
          <w:color w:val="000000" w:themeColor="text1"/>
        </w:rPr>
        <w:t>處改變為</w:t>
      </w:r>
      <w:r w:rsidR="009A3995" w:rsidRPr="007D7B21">
        <w:rPr>
          <w:rFonts w:hAnsi="標楷體" w:hint="eastAsia"/>
          <w:color w:val="000000" w:themeColor="text1"/>
          <w:szCs w:val="32"/>
          <w:lang w:eastAsia="zh-HK"/>
        </w:rPr>
        <w:t>15,917</w:t>
      </w:r>
      <w:r w:rsidR="009A3995" w:rsidRPr="007D7B21">
        <w:rPr>
          <w:rFonts w:hint="eastAsia"/>
          <w:color w:val="000000" w:themeColor="text1"/>
        </w:rPr>
        <w:t>處</w:t>
      </w:r>
      <w:bookmarkEnd w:id="50"/>
      <w:r w:rsidR="009A3995" w:rsidRPr="007D7B21">
        <w:rPr>
          <w:rFonts w:hint="eastAsia"/>
          <w:color w:val="000000" w:themeColor="text1"/>
        </w:rPr>
        <w:t>，統計數據持續變動而礙難瞭解改善情形</w:t>
      </w:r>
      <w:r w:rsidR="004C55A3" w:rsidRPr="007D7B21">
        <w:rPr>
          <w:rFonts w:hAnsi="標楷體" w:hint="eastAsia"/>
          <w:color w:val="000000" w:themeColor="text1"/>
          <w:szCs w:val="32"/>
          <w:lang w:eastAsia="zh-HK"/>
        </w:rPr>
        <w:t>，隨後又以維修為由關閉該網頁</w:t>
      </w:r>
      <w:r w:rsidR="009A3995" w:rsidRPr="007D7B21">
        <w:rPr>
          <w:rFonts w:hint="eastAsia"/>
          <w:color w:val="000000" w:themeColor="text1"/>
        </w:rPr>
        <w:t>。</w:t>
      </w:r>
      <w:r w:rsidRPr="007D7B21">
        <w:rPr>
          <w:rFonts w:hint="eastAsia"/>
          <w:color w:val="000000" w:themeColor="text1"/>
        </w:rPr>
        <w:t>對於上開統計數據，詢據國教署稱，係由學校填報，非實地會勘所填之數據，且仍有部分學校未填報，後續規劃請各地方政府重新盤點，並督導所屬學校成立無障礙諮詢小組，定期檢視校內無障礙設施設備建置是否符合法令及學生需求，並規劃可行之替代調整或改善方案等語。</w:t>
      </w:r>
      <w:r w:rsidR="005921E4" w:rsidRPr="007D7B21">
        <w:rPr>
          <w:rFonts w:hint="eastAsia"/>
          <w:color w:val="000000" w:themeColor="text1"/>
        </w:rPr>
        <w:t>可知</w:t>
      </w:r>
      <w:r w:rsidRPr="007D7B21">
        <w:rPr>
          <w:rFonts w:hint="eastAsia"/>
          <w:color w:val="000000" w:themeColor="text1"/>
        </w:rPr>
        <w:t>國教署列管無障礙設施資料，除正確性不足，亦欠缺復核機制，僅由各學校填報，非實地會勘所填之數據，難以</w:t>
      </w:r>
      <w:r w:rsidRPr="007D7B21">
        <w:rPr>
          <w:rFonts w:hAnsi="標楷體" w:hint="eastAsia"/>
          <w:color w:val="000000" w:themeColor="text1"/>
          <w:szCs w:val="32"/>
        </w:rPr>
        <w:t>確知近年教育部對校園無障礙設施改善之成效，</w:t>
      </w:r>
      <w:r w:rsidR="005921E4" w:rsidRPr="007D7B21">
        <w:rPr>
          <w:rFonts w:hAnsi="標楷體" w:hint="eastAsia"/>
          <w:color w:val="000000" w:themeColor="text1"/>
          <w:szCs w:val="32"/>
        </w:rPr>
        <w:t>據以瞭解</w:t>
      </w:r>
      <w:r w:rsidRPr="007D7B21">
        <w:rPr>
          <w:rFonts w:hAnsi="標楷體" w:hint="eastAsia"/>
          <w:color w:val="000000" w:themeColor="text1"/>
          <w:szCs w:val="32"/>
        </w:rPr>
        <w:t>校園無障礙合格率全貌。</w:t>
      </w:r>
    </w:p>
    <w:p w:rsidR="002C37FF" w:rsidRPr="007D7B21" w:rsidRDefault="002C37FF" w:rsidP="002C37FF">
      <w:pPr>
        <w:pStyle w:val="2"/>
        <w:rPr>
          <w:color w:val="000000" w:themeColor="text1"/>
        </w:rPr>
      </w:pPr>
      <w:r w:rsidRPr="007D7B21">
        <w:rPr>
          <w:rFonts w:hint="eastAsia"/>
          <w:color w:val="000000" w:themeColor="text1"/>
        </w:rPr>
        <w:t>再查，除上開統計數據正確性不足外，國教署統計係以「處」為單位，且由上開統計結果發現，無障礙設施設置率及合格率均達8成以上極高，待改善率、未設置率約僅1成極低，是否美化改善成果，不無疑問。</w:t>
      </w:r>
      <w:r w:rsidR="005921E4" w:rsidRPr="007D7B21">
        <w:rPr>
          <w:rFonts w:hint="eastAsia"/>
          <w:color w:val="000000" w:themeColor="text1"/>
        </w:rPr>
        <w:t>復</w:t>
      </w:r>
      <w:r w:rsidRPr="007D7B21">
        <w:rPr>
          <w:rFonts w:hint="eastAsia"/>
          <w:color w:val="000000" w:themeColor="text1"/>
        </w:rPr>
        <w:t>對於有多少「學校」合乎無障礙規定一節，國教署迄今無法說明，僅說後續仍須再盤點調查等語。顯見教育部推動校園無障礙政策多年，迄今未能整體說明有多少「學校」合乎無障礙規定，有多少學校未能符合規定，迄今無法掌握現有符合無障礙規定之「學校數」，基礎資料之盤點工作仍未健全，難以推動落實無</w:t>
      </w:r>
      <w:r w:rsidRPr="007D7B21">
        <w:rPr>
          <w:rFonts w:hint="eastAsia"/>
          <w:color w:val="000000" w:themeColor="text1"/>
        </w:rPr>
        <w:lastRenderedPageBreak/>
        <w:t>障礙設施改善情形，均待檢討改進。</w:t>
      </w:r>
    </w:p>
    <w:p w:rsidR="002C37FF" w:rsidRPr="007D7B21" w:rsidRDefault="002C37FF" w:rsidP="002C37FF">
      <w:pPr>
        <w:pStyle w:val="2"/>
        <w:rPr>
          <w:color w:val="000000" w:themeColor="text1"/>
        </w:rPr>
      </w:pPr>
      <w:r w:rsidRPr="007D7B21">
        <w:rPr>
          <w:rFonts w:hint="eastAsia"/>
          <w:color w:val="000000" w:themeColor="text1"/>
        </w:rPr>
        <w:t>再查，對於校園建築物以外之區域（如司令臺、棟與棟之連接通道、操場、停車場、合作社等）之無障礙改善辦理情形，據復：</w:t>
      </w:r>
    </w:p>
    <w:p w:rsidR="002C37FF" w:rsidRPr="007D7B21" w:rsidRDefault="002C37FF" w:rsidP="002C37FF">
      <w:pPr>
        <w:pStyle w:val="3"/>
        <w:rPr>
          <w:color w:val="000000" w:themeColor="text1"/>
        </w:rPr>
      </w:pPr>
      <w:r w:rsidRPr="007D7B21">
        <w:rPr>
          <w:rFonts w:hint="eastAsia"/>
          <w:color w:val="000000" w:themeColor="text1"/>
        </w:rPr>
        <w:t>學校司令臺目前尚無相關規範，學校司令臺未設坡道者，如有輪椅生等行動不便者有需上下司令臺等情事（如頒獎），可循替代方案處理，或依程序申請設置坡道。</w:t>
      </w:r>
    </w:p>
    <w:p w:rsidR="002C37FF" w:rsidRPr="007D7B21" w:rsidRDefault="002C37FF" w:rsidP="002C37FF">
      <w:pPr>
        <w:pStyle w:val="3"/>
        <w:rPr>
          <w:color w:val="000000" w:themeColor="text1"/>
        </w:rPr>
      </w:pPr>
      <w:r w:rsidRPr="007D7B21">
        <w:rPr>
          <w:rFonts w:hint="eastAsia"/>
          <w:color w:val="000000" w:themeColor="text1"/>
        </w:rPr>
        <w:t>學校棟與棟之連接通道包含室外通路、室內通路走廊、出入口或坡道等，皆屬無障礙通路部分，於「建築物改善無障礙設施設計規範」中皆有規範；無障礙停車位之設置也於「建築物改善無障礙設施設計規範」中有規範；另學校合作社位在建築物內，相關出入口、連接通道等規劃，也應依據「建築物改善無障礙設施設計規範」辦理。</w:t>
      </w:r>
    </w:p>
    <w:p w:rsidR="002C37FF" w:rsidRPr="007D7B21" w:rsidRDefault="002C37FF" w:rsidP="002C37FF">
      <w:pPr>
        <w:pStyle w:val="3"/>
        <w:rPr>
          <w:color w:val="000000" w:themeColor="text1"/>
        </w:rPr>
      </w:pPr>
      <w:r w:rsidRPr="007D7B21">
        <w:rPr>
          <w:rFonts w:hint="eastAsia"/>
          <w:color w:val="000000" w:themeColor="text1"/>
        </w:rPr>
        <w:t>學校操場屬戶外空間，學校應規劃建置一條水平、暢通且安全之無障礙通路，以符合學生上課所需。</w:t>
      </w:r>
    </w:p>
    <w:p w:rsidR="002C37FF" w:rsidRPr="007D7B21" w:rsidRDefault="002C37FF" w:rsidP="002C37FF">
      <w:pPr>
        <w:pStyle w:val="3"/>
        <w:rPr>
          <w:color w:val="000000" w:themeColor="text1"/>
        </w:rPr>
      </w:pPr>
      <w:bookmarkStart w:id="51" w:name="_Hlk113439318"/>
      <w:r w:rsidRPr="007D7B21">
        <w:rPr>
          <w:rFonts w:hint="eastAsia"/>
          <w:color w:val="000000" w:themeColor="text1"/>
        </w:rPr>
        <w:t>由上</w:t>
      </w:r>
      <w:r w:rsidR="005921E4" w:rsidRPr="007D7B21">
        <w:rPr>
          <w:rFonts w:hint="eastAsia"/>
          <w:color w:val="000000" w:themeColor="text1"/>
        </w:rPr>
        <w:t>開</w:t>
      </w:r>
      <w:bookmarkEnd w:id="51"/>
      <w:r w:rsidRPr="007D7B21">
        <w:rPr>
          <w:rFonts w:hint="eastAsia"/>
          <w:color w:val="000000" w:themeColor="text1"/>
        </w:rPr>
        <w:t>國教署回</w:t>
      </w:r>
      <w:bookmarkStart w:id="52" w:name="_Hlk113439337"/>
      <w:r w:rsidR="005921E4" w:rsidRPr="007D7B21">
        <w:rPr>
          <w:rFonts w:hint="eastAsia"/>
          <w:color w:val="000000" w:themeColor="text1"/>
        </w:rPr>
        <w:t>復說明</w:t>
      </w:r>
      <w:bookmarkEnd w:id="52"/>
      <w:r w:rsidRPr="007D7B21">
        <w:rPr>
          <w:rFonts w:hint="eastAsia"/>
          <w:color w:val="000000" w:themeColor="text1"/>
        </w:rPr>
        <w:t>可知，對於校園建築物以外之區域，如司令臺目前尚無相關規範，如有輪椅生等行動不便者有需上下司令臺等情事（如頒獎），可循替代方案處理，或依程序申請設置坡道由各校自行處理等語。對於學校操場、中庭等戶外空間，僅稱學校應規劃建置一條水平、暢通且安全之無障礙通路，以符合學生上課所需等語，對於棟與棟之連接通道、操場、停車場、合作社等之無障礙改善辦理情形，尚待檢討。</w:t>
      </w:r>
    </w:p>
    <w:p w:rsidR="002C37FF" w:rsidRPr="007D7B21" w:rsidRDefault="005921E4" w:rsidP="002C37FF">
      <w:pPr>
        <w:pStyle w:val="2"/>
        <w:rPr>
          <w:color w:val="000000" w:themeColor="text1"/>
        </w:rPr>
      </w:pPr>
      <w:r w:rsidRPr="007D7B21">
        <w:rPr>
          <w:rFonts w:hint="eastAsia"/>
          <w:color w:val="000000" w:themeColor="text1"/>
        </w:rPr>
        <w:t>依上述調查結果，另</w:t>
      </w:r>
      <w:r w:rsidR="002C37FF" w:rsidRPr="007D7B21">
        <w:rPr>
          <w:rFonts w:hint="eastAsia"/>
          <w:color w:val="000000" w:themeColor="text1"/>
        </w:rPr>
        <w:t>據內政部所訂定之替代改善原則第2點規定，上開校園環境應改善設置之無障礙設施項目包括：室外通路、避難層坡道及扶手、避難層出入口、室內出入口、室內通路走廊、樓梯、昇降設備、</w:t>
      </w:r>
      <w:r w:rsidR="002C37FF" w:rsidRPr="007D7B21">
        <w:rPr>
          <w:rFonts w:hint="eastAsia"/>
          <w:color w:val="000000" w:themeColor="text1"/>
        </w:rPr>
        <w:lastRenderedPageBreak/>
        <w:t>廁所盥洗室、輪椅觀眾席位、停車空間等10項，其設置數量為每一建造執照每幢至少必須設置一處。故校園環境應依該替代改善原則規定進行各項無障礙設施改善，以利行動不便者進出校園，經本案調查所得，發現教育部資料係由學校填報，非實地會勘所填之數據，且仍有部分學校未填報，正確性不足。另據國教署稱，後續規劃請各地方政府重新盤點，並應督導所屬學校成立無障礙諮詢小組，定期檢視校內無障礙設施設備建置是否符合法令及學生需求，並規劃可行之替代調整或改善方案等語。另，對於校園建築物以外之區域（如司令臺、棟與棟之連接通道、操場、停車場、合作社等）之無障礙改善辦理情形，無相關統計。國教署亦未能切實督導所屬學校成立無障礙諮詢小組，定期檢視校內無障礙設施設備建置是否符合法令及學生需求，均有賴教育部切實檢討改進。</w:t>
      </w:r>
    </w:p>
    <w:p w:rsidR="002C37FF" w:rsidRPr="007D7B21" w:rsidRDefault="006F108D" w:rsidP="002C37FF">
      <w:pPr>
        <w:pStyle w:val="2"/>
        <w:rPr>
          <w:color w:val="000000" w:themeColor="text1"/>
        </w:rPr>
      </w:pPr>
      <w:r w:rsidRPr="007D7B21">
        <w:rPr>
          <w:rFonts w:hint="eastAsia"/>
          <w:color w:val="000000" w:themeColor="text1"/>
        </w:rPr>
        <w:t>為瞭解各該校近年就校園無障礙計畫之執行情形，</w:t>
      </w:r>
      <w:r w:rsidR="002C37FF" w:rsidRPr="007D7B21">
        <w:rPr>
          <w:rFonts w:hint="eastAsia"/>
          <w:color w:val="000000" w:themeColor="text1"/>
        </w:rPr>
        <w:t>本院赴新北市鶯歌國中及臺北市木柵高工抽查訪視前，為瞭解各該校近年就校園無障礙計畫之執行情形，經上教育部特殊教育通報網「無障礙校園環境管理系統」查詢更新情形，發現新北市鶯歌國中及臺北市木柵高工之頁面，雖有預估經費之資訊，惟成果均顯示「（無）」，爰教育部允應督導各地方政府及所屬學校，賡續積極辦理有關業務：</w:t>
      </w:r>
    </w:p>
    <w:p w:rsidR="007B2048" w:rsidRPr="007D7B21" w:rsidRDefault="002C37FF" w:rsidP="002C37FF">
      <w:pPr>
        <w:pStyle w:val="3"/>
        <w:rPr>
          <w:color w:val="000000" w:themeColor="text1"/>
        </w:rPr>
      </w:pPr>
      <w:r w:rsidRPr="007D7B21">
        <w:rPr>
          <w:rFonts w:hint="eastAsia"/>
          <w:color w:val="000000" w:themeColor="text1"/>
        </w:rPr>
        <w:t>木柵高工108年度</w:t>
      </w:r>
      <w:r w:rsidRPr="007D7B21">
        <w:rPr>
          <w:color w:val="000000" w:themeColor="text1"/>
        </w:rPr>
        <w:t>整體改善無障礙校園環境計畫-學校成果展示</w:t>
      </w:r>
      <w:r w:rsidRPr="007D7B21">
        <w:rPr>
          <w:rFonts w:hint="eastAsia"/>
          <w:color w:val="000000" w:themeColor="text1"/>
        </w:rPr>
        <w:t>，設置無障礙電梯工程預估經費2</w:t>
      </w:r>
      <w:r w:rsidRPr="007D7B21">
        <w:rPr>
          <w:color w:val="000000" w:themeColor="text1"/>
        </w:rPr>
        <w:t>,</w:t>
      </w:r>
      <w:r w:rsidRPr="007D7B21">
        <w:rPr>
          <w:rFonts w:hint="eastAsia"/>
          <w:color w:val="000000" w:themeColor="text1"/>
        </w:rPr>
        <w:t>869,939元，成果顯示「（無）」。</w:t>
      </w:r>
      <w:r w:rsidR="007B2048" w:rsidRPr="007D7B21">
        <w:rPr>
          <w:color w:val="000000" w:themeColor="text1"/>
        </w:rPr>
        <w:br w:type="page"/>
      </w:r>
    </w:p>
    <w:p w:rsidR="002C37FF" w:rsidRPr="007D7B21" w:rsidRDefault="002C37FF" w:rsidP="002C37FF">
      <w:pPr>
        <w:rPr>
          <w:color w:val="000000" w:themeColor="text1"/>
        </w:rPr>
      </w:pPr>
      <w:r w:rsidRPr="007D7B21">
        <w:rPr>
          <w:noProof/>
          <w:color w:val="000000" w:themeColor="text1"/>
        </w:rPr>
        <w:lastRenderedPageBreak/>
        <w:drawing>
          <wp:inline distT="0" distB="0" distL="0" distR="0" wp14:anchorId="117C090A" wp14:editId="5E737615">
            <wp:extent cx="5615940" cy="653415"/>
            <wp:effectExtent l="0" t="0" r="381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5615940" cy="653415"/>
                    </a:xfrm>
                    <a:prstGeom prst="rect">
                      <a:avLst/>
                    </a:prstGeom>
                  </pic:spPr>
                </pic:pic>
              </a:graphicData>
            </a:graphic>
          </wp:inline>
        </w:drawing>
      </w:r>
    </w:p>
    <w:p w:rsidR="002C37FF" w:rsidRPr="007D7B21" w:rsidRDefault="002C37FF" w:rsidP="002C37FF">
      <w:pPr>
        <w:pStyle w:val="a2"/>
        <w:numPr>
          <w:ilvl w:val="0"/>
          <w:numId w:val="17"/>
        </w:numPr>
        <w:kinsoku w:val="0"/>
        <w:spacing w:after="0"/>
        <w:ind w:left="482" w:hanging="482"/>
        <w:jc w:val="left"/>
        <w:rPr>
          <w:color w:val="000000" w:themeColor="text1"/>
        </w:rPr>
      </w:pPr>
      <w:r w:rsidRPr="007D7B21">
        <w:rPr>
          <w:rFonts w:hint="eastAsia"/>
          <w:color w:val="000000" w:themeColor="text1"/>
        </w:rPr>
        <w:t>木柵高工108年度整體改善無障礙校園環境計畫-學校成果展示</w:t>
      </w:r>
    </w:p>
    <w:p w:rsidR="002C37FF" w:rsidRPr="007D7B21" w:rsidRDefault="002C37FF" w:rsidP="002C37FF">
      <w:pPr>
        <w:pStyle w:val="a2"/>
        <w:numPr>
          <w:ilvl w:val="0"/>
          <w:numId w:val="0"/>
        </w:numPr>
        <w:jc w:val="left"/>
        <w:rPr>
          <w:color w:val="000000" w:themeColor="text1"/>
        </w:rPr>
      </w:pPr>
      <w:r w:rsidRPr="007D7B21">
        <w:rPr>
          <w:rFonts w:hint="eastAsia"/>
          <w:color w:val="000000" w:themeColor="text1"/>
        </w:rPr>
        <w:t>資料來源：111年6月2日擷取自無障礙校園環境管理系統</w:t>
      </w:r>
      <w:r w:rsidRPr="007D7B21">
        <w:rPr>
          <w:rStyle w:val="aff4"/>
          <w:color w:val="000000" w:themeColor="text1"/>
        </w:rPr>
        <w:footnoteReference w:id="5"/>
      </w:r>
      <w:r w:rsidRPr="007D7B21">
        <w:rPr>
          <w:color w:val="000000" w:themeColor="text1"/>
        </w:rPr>
        <w:br/>
      </w:r>
    </w:p>
    <w:p w:rsidR="002C37FF" w:rsidRPr="007D7B21" w:rsidRDefault="002C37FF" w:rsidP="002C37FF">
      <w:pPr>
        <w:pStyle w:val="3"/>
        <w:rPr>
          <w:color w:val="000000" w:themeColor="text1"/>
        </w:rPr>
      </w:pPr>
      <w:r w:rsidRPr="007D7B21">
        <w:rPr>
          <w:rFonts w:hint="eastAsia"/>
          <w:color w:val="000000" w:themeColor="text1"/>
        </w:rPr>
        <w:t>鶯歌國中100年</w:t>
      </w:r>
      <w:r w:rsidRPr="007D7B21">
        <w:rPr>
          <w:color w:val="000000" w:themeColor="text1"/>
        </w:rPr>
        <w:t>整體改善無障礙校園環境計畫-學校成果展示</w:t>
      </w:r>
      <w:r w:rsidRPr="007D7B21">
        <w:rPr>
          <w:rFonts w:hint="eastAsia"/>
          <w:color w:val="000000" w:themeColor="text1"/>
        </w:rPr>
        <w:t>，國教樓層設置無障礙點梯預估經費3</w:t>
      </w:r>
      <w:r w:rsidRPr="007D7B21">
        <w:rPr>
          <w:color w:val="000000" w:themeColor="text1"/>
        </w:rPr>
        <w:t>,</w:t>
      </w:r>
      <w:r w:rsidRPr="007D7B21">
        <w:rPr>
          <w:rFonts w:hint="eastAsia"/>
          <w:color w:val="000000" w:themeColor="text1"/>
        </w:rPr>
        <w:t>735,946元，全校各樓層交接處改善高低差預估經費1,263,000元，成果均顯示「（無）」，另查無後續年度資料。</w:t>
      </w:r>
    </w:p>
    <w:p w:rsidR="002C37FF" w:rsidRPr="007D7B21" w:rsidRDefault="002C37FF" w:rsidP="002C37FF">
      <w:pPr>
        <w:rPr>
          <w:color w:val="000000" w:themeColor="text1"/>
        </w:rPr>
      </w:pPr>
      <w:r w:rsidRPr="007D7B21">
        <w:rPr>
          <w:noProof/>
          <w:color w:val="000000" w:themeColor="text1"/>
        </w:rPr>
        <w:drawing>
          <wp:inline distT="0" distB="0" distL="0" distR="0" wp14:anchorId="0E85FF57" wp14:editId="45A15BCF">
            <wp:extent cx="5615940" cy="977265"/>
            <wp:effectExtent l="0" t="0" r="381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5615940" cy="977265"/>
                    </a:xfrm>
                    <a:prstGeom prst="rect">
                      <a:avLst/>
                    </a:prstGeom>
                  </pic:spPr>
                </pic:pic>
              </a:graphicData>
            </a:graphic>
          </wp:inline>
        </w:drawing>
      </w:r>
    </w:p>
    <w:p w:rsidR="002C37FF" w:rsidRPr="007D7B21" w:rsidRDefault="002C37FF" w:rsidP="002C37FF">
      <w:pPr>
        <w:pStyle w:val="a2"/>
        <w:kinsoku w:val="0"/>
        <w:spacing w:after="0"/>
        <w:ind w:left="1472"/>
        <w:jc w:val="left"/>
        <w:rPr>
          <w:color w:val="000000" w:themeColor="text1"/>
        </w:rPr>
      </w:pPr>
      <w:r w:rsidRPr="007D7B21">
        <w:rPr>
          <w:rFonts w:hint="eastAsia"/>
          <w:color w:val="000000" w:themeColor="text1"/>
        </w:rPr>
        <w:t>鶯歌國中100年度整體改善無障礙校園環境計畫-學校成果展示</w:t>
      </w:r>
    </w:p>
    <w:p w:rsidR="002C37FF" w:rsidRPr="007D7B21" w:rsidRDefault="002C37FF" w:rsidP="002C37FF">
      <w:pPr>
        <w:rPr>
          <w:color w:val="000000" w:themeColor="text1"/>
        </w:rPr>
      </w:pPr>
      <w:r w:rsidRPr="007D7B21">
        <w:rPr>
          <w:rFonts w:hint="eastAsia"/>
          <w:color w:val="000000" w:themeColor="text1"/>
          <w:sz w:val="28"/>
        </w:rPr>
        <w:t>資料來源：111年6月2日擷取自無障礙校園環境管理系統</w:t>
      </w:r>
      <w:r w:rsidRPr="007D7B21">
        <w:rPr>
          <w:rStyle w:val="aff4"/>
          <w:color w:val="000000" w:themeColor="text1"/>
          <w:sz w:val="28"/>
        </w:rPr>
        <w:footnoteReference w:id="6"/>
      </w:r>
      <w:r w:rsidRPr="007D7B21">
        <w:rPr>
          <w:color w:val="000000" w:themeColor="text1"/>
        </w:rPr>
        <w:br/>
      </w:r>
    </w:p>
    <w:p w:rsidR="002C37FF" w:rsidRPr="007D7B21" w:rsidRDefault="002C37FF" w:rsidP="002C37FF">
      <w:pPr>
        <w:pStyle w:val="3"/>
        <w:rPr>
          <w:color w:val="000000" w:themeColor="text1"/>
        </w:rPr>
      </w:pPr>
      <w:r w:rsidRPr="007D7B21">
        <w:rPr>
          <w:rFonts w:hint="eastAsia"/>
          <w:color w:val="000000" w:themeColor="text1"/>
        </w:rPr>
        <w:t>本案詢問相關主管機關表示，校園無障礙環境改善情形之盤點及清查刻不容緩，未來將積極辦理，非僅由各縣市提報，接續將爭取政府公共建設計畫，督促各地方政府在一定年限完成校園無障礙設施改善工作：</w:t>
      </w:r>
    </w:p>
    <w:p w:rsidR="002C37FF" w:rsidRPr="007D7B21" w:rsidRDefault="002C37FF" w:rsidP="002C37FF">
      <w:pPr>
        <w:pStyle w:val="4"/>
        <w:rPr>
          <w:color w:val="000000" w:themeColor="text1"/>
        </w:rPr>
      </w:pPr>
      <w:r w:rsidRPr="007D7B21">
        <w:rPr>
          <w:rFonts w:hint="eastAsia"/>
          <w:color w:val="000000" w:themeColor="text1"/>
        </w:rPr>
        <w:t>教育部：清查資料刻不容緩，若特通網無法及時改善，已有跟相關企業及學者專家研議，將於1年內完成，先對各校相關人員培訓，瞭解正確觀念，再進行填報。未來將積極辦理，而非僅由各縣市提報。</w:t>
      </w:r>
    </w:p>
    <w:p w:rsidR="002C37FF" w:rsidRPr="007D7B21" w:rsidRDefault="002C37FF" w:rsidP="002C37FF">
      <w:pPr>
        <w:pStyle w:val="4"/>
        <w:rPr>
          <w:color w:val="000000" w:themeColor="text1"/>
        </w:rPr>
      </w:pPr>
      <w:r w:rsidRPr="007D7B21">
        <w:rPr>
          <w:rFonts w:hint="eastAsia"/>
          <w:color w:val="000000" w:themeColor="text1"/>
        </w:rPr>
        <w:lastRenderedPageBreak/>
        <w:t>教育部國教署：</w:t>
      </w:r>
    </w:p>
    <w:p w:rsidR="002C37FF" w:rsidRPr="007D7B21" w:rsidRDefault="002C37FF" w:rsidP="002C37FF">
      <w:pPr>
        <w:pStyle w:val="5"/>
        <w:rPr>
          <w:color w:val="000000" w:themeColor="text1"/>
        </w:rPr>
      </w:pPr>
      <w:r w:rsidRPr="007D7B21">
        <w:rPr>
          <w:rFonts w:hint="eastAsia"/>
          <w:color w:val="000000" w:themeColor="text1"/>
        </w:rPr>
        <w:t>相較南部縣市，雙北整體業務掌握度可能較完善，但本案需22地方政府同步進行，接續辦理事項包括清查、認定，透過相關專家協助認定，國教署應與地方政府合作。</w:t>
      </w:r>
    </w:p>
    <w:p w:rsidR="002C37FF" w:rsidRPr="007D7B21" w:rsidRDefault="002C37FF" w:rsidP="002C37FF">
      <w:pPr>
        <w:pStyle w:val="5"/>
        <w:rPr>
          <w:color w:val="000000" w:themeColor="text1"/>
        </w:rPr>
      </w:pPr>
      <w:r w:rsidRPr="007D7B21">
        <w:rPr>
          <w:rFonts w:hint="eastAsia"/>
          <w:color w:val="000000" w:themeColor="text1"/>
        </w:rPr>
        <w:t>特通網是較早的系統，盤查後要登錄系統進行管理，經費需求量不少……而無障礙設施……接續爭取政府公共建設計畫，讓各縣市在一定年限完成，不影響學生學習權益。</w:t>
      </w:r>
    </w:p>
    <w:p w:rsidR="002C37FF" w:rsidRPr="007D7B21" w:rsidRDefault="002C37FF" w:rsidP="002C37FF">
      <w:pPr>
        <w:pStyle w:val="5"/>
        <w:rPr>
          <w:color w:val="000000" w:themeColor="text1"/>
        </w:rPr>
      </w:pPr>
      <w:r w:rsidRPr="007D7B21">
        <w:rPr>
          <w:rFonts w:hint="eastAsia"/>
          <w:color w:val="000000" w:themeColor="text1"/>
        </w:rPr>
        <w:t>教育部已進行多次清查，以前的改善都是分項的，爭取政府公共建設計畫需要完整掌握場的實況及數據，要有全盤了解，108年資料已執行至一定程度，如係認定之落差亦要補齊，認定標準也會再請教內政部營建署</w:t>
      </w:r>
    </w:p>
    <w:p w:rsidR="006F108D" w:rsidRPr="007D7B21" w:rsidRDefault="006F108D" w:rsidP="006F108D">
      <w:pPr>
        <w:pStyle w:val="4"/>
        <w:rPr>
          <w:color w:val="000000" w:themeColor="text1"/>
        </w:rPr>
      </w:pPr>
      <w:r w:rsidRPr="007D7B21">
        <w:rPr>
          <w:rFonts w:hint="eastAsia"/>
          <w:color w:val="000000" w:themeColor="text1"/>
        </w:rPr>
        <w:t>內政部營建署：將持續督導各地方政府清查，106年開始都已經有規定，母數要確實清查，認定已改善、未改善之實際狀況，要做更清楚地確認，在110年考核計畫內已列入，始得掌握後續處理方式，全面性、完整性推動，除書面行政審查，亦辦理實地查核。</w:t>
      </w:r>
    </w:p>
    <w:p w:rsidR="002C37FF" w:rsidRPr="007D7B21" w:rsidRDefault="002C37FF" w:rsidP="002C37FF">
      <w:pPr>
        <w:pStyle w:val="3"/>
        <w:rPr>
          <w:color w:val="000000" w:themeColor="text1"/>
        </w:rPr>
      </w:pPr>
      <w:r w:rsidRPr="007D7B21">
        <w:rPr>
          <w:rFonts w:hint="eastAsia"/>
          <w:color w:val="000000" w:themeColor="text1"/>
        </w:rPr>
        <w:t>臺北市政府說明辦理情形：該府教育局依指示於111年3月23日再次清查校園無障礙設施現況及改善規劃，除原12項目外，另外增加4項：進出停車場坡道、上下司令臺坡道、進出操場坡道、進出合作社坡道等。</w:t>
      </w:r>
    </w:p>
    <w:p w:rsidR="002C37FF" w:rsidRPr="007D7B21" w:rsidRDefault="002C37FF" w:rsidP="002C37FF">
      <w:pPr>
        <w:pStyle w:val="3"/>
        <w:rPr>
          <w:color w:val="000000" w:themeColor="text1"/>
        </w:rPr>
      </w:pPr>
      <w:r w:rsidRPr="007D7B21">
        <w:rPr>
          <w:rFonts w:hint="eastAsia"/>
          <w:color w:val="000000" w:themeColor="text1"/>
        </w:rPr>
        <w:t>新北市政府說明辦理情形：在校園建築物以外區域，近期做了清查，337校中，D</w:t>
      </w:r>
      <w:r w:rsidR="006F108D" w:rsidRPr="007D7B21">
        <w:rPr>
          <w:rFonts w:hint="eastAsia"/>
          <w:color w:val="000000" w:themeColor="text1"/>
        </w:rPr>
        <w:t>-</w:t>
      </w:r>
      <w:r w:rsidRPr="007D7B21">
        <w:rPr>
          <w:rFonts w:hint="eastAsia"/>
          <w:color w:val="000000" w:themeColor="text1"/>
        </w:rPr>
        <w:t>3類國民小學計214校，司令臺10.7%待改善，連接通道8.9%待改善、合作社5.4%待改善，國民中學58校中，司令臺25.9%待改善，連接通道32.8%待改善，合作社12.1%待改善，</w:t>
      </w:r>
      <w:r w:rsidRPr="007D7B21">
        <w:rPr>
          <w:rFonts w:hint="eastAsia"/>
          <w:color w:val="000000" w:themeColor="text1"/>
        </w:rPr>
        <w:lastRenderedPageBreak/>
        <w:t>高中職待改善率司令臺最高。</w:t>
      </w:r>
    </w:p>
    <w:p w:rsidR="002C37FF" w:rsidRPr="007D7B21" w:rsidRDefault="002C37FF" w:rsidP="002C37FF">
      <w:pPr>
        <w:pStyle w:val="2"/>
        <w:rPr>
          <w:color w:val="000000" w:themeColor="text1"/>
        </w:rPr>
      </w:pPr>
      <w:r w:rsidRPr="007D7B21">
        <w:rPr>
          <w:rFonts w:hint="eastAsia"/>
          <w:color w:val="000000" w:themeColor="text1"/>
        </w:rPr>
        <w:t>本院111年3月2日履勘新北市鶯歌國中、同年月4日臺北市木柵高工發現，透過國家級之改善計畫，全國教育資源設施始得逐漸平等、充足，教育部允應督同各地方政府清查校園無障礙改善與裁罰情形：</w:t>
      </w:r>
    </w:p>
    <w:p w:rsidR="002C37FF" w:rsidRPr="007D7B21" w:rsidRDefault="002C37FF" w:rsidP="002C37FF">
      <w:pPr>
        <w:pStyle w:val="3"/>
        <w:rPr>
          <w:color w:val="000000" w:themeColor="text1"/>
        </w:rPr>
      </w:pPr>
      <w:r w:rsidRPr="007D7B21">
        <w:rPr>
          <w:rFonts w:hint="eastAsia"/>
          <w:color w:val="000000" w:themeColor="text1"/>
        </w:rPr>
        <w:t>內政部營建署說明，目前清查110年提供無障礙督導考核資料，對於D-3、D-4類校園，建議臺北市政府教育局確認相關資料是否已完成；新北市政府於109年、110年改善成果案件，尚無D-3組或D-4組建築物，故現場考核時未抽查國民教育階段校園。</w:t>
      </w:r>
    </w:p>
    <w:p w:rsidR="002C37FF" w:rsidRPr="007D7B21" w:rsidRDefault="002C37FF" w:rsidP="002C37FF">
      <w:pPr>
        <w:pStyle w:val="3"/>
        <w:rPr>
          <w:color w:val="000000" w:themeColor="text1"/>
        </w:rPr>
      </w:pPr>
      <w:r w:rsidRPr="007D7B21">
        <w:rPr>
          <w:rFonts w:hint="eastAsia"/>
          <w:color w:val="000000" w:themeColor="text1"/>
        </w:rPr>
        <w:t>教育部國教署說明，特教通報網建置校園無障礙管理系統，目前尚在建置中無法查詢，重建後會請地方政府重新盤點數據，國教署召集縣市、系統建置主責單位，請各校盤點後上系統修正，以確實呈現待改善數量，各地方政府應盤點及彙整需更新及改善之無障礙設施設備，並編列經費協助學校改善無障礙校園環境。</w:t>
      </w:r>
    </w:p>
    <w:p w:rsidR="002C37FF" w:rsidRPr="007D7B21" w:rsidRDefault="002C37FF" w:rsidP="002C37FF">
      <w:pPr>
        <w:pStyle w:val="3"/>
        <w:rPr>
          <w:color w:val="000000" w:themeColor="text1"/>
        </w:rPr>
      </w:pPr>
      <w:r w:rsidRPr="007D7B21">
        <w:rPr>
          <w:rFonts w:hint="eastAsia"/>
          <w:color w:val="000000" w:themeColor="text1"/>
        </w:rPr>
        <w:t>木柵高工說明，司令臺斜坡道、圖書館斜坡道均有建置，協助緩衝增進行動，少部分沒有收編之扶手，牽涉施工年代沒有法規，將陸續利用校內經費改善。因該校技職類科設備昂貴，移動成本高，希望外來能排入教育局、教育部計畫改善，長期約需新臺幣（下同）4,000多萬元經費。</w:t>
      </w:r>
    </w:p>
    <w:p w:rsidR="002C37FF" w:rsidRPr="007D7B21" w:rsidRDefault="002C37FF" w:rsidP="002C37FF">
      <w:pPr>
        <w:pStyle w:val="3"/>
        <w:rPr>
          <w:color w:val="000000" w:themeColor="text1"/>
        </w:rPr>
      </w:pPr>
      <w:r w:rsidRPr="007D7B21">
        <w:rPr>
          <w:rFonts w:hint="eastAsia"/>
          <w:color w:val="000000" w:themeColor="text1"/>
        </w:rPr>
        <w:t>臺北市政府說明，初估5年內可將臺北市無障礙環境做具體的改善；會找建築師整體性檢視，刻正蒐集無障礙環境改善學校改善圖示範例，以訂定校園生活無障礙設施設備工程標準作業指引。該市30校建物全部有電梯、190校部分建物有電梯、16校無電梯，定有校園無障礙精進計畫，400萬元為原則補助，另定有計畫補助200萬元為原則。</w:t>
      </w:r>
    </w:p>
    <w:p w:rsidR="007B34F5" w:rsidRPr="007D7B21" w:rsidRDefault="007B34F5" w:rsidP="007B34F5">
      <w:pPr>
        <w:pStyle w:val="3"/>
        <w:rPr>
          <w:color w:val="000000" w:themeColor="text1"/>
        </w:rPr>
      </w:pPr>
      <w:r w:rsidRPr="007D7B21">
        <w:rPr>
          <w:rFonts w:hint="eastAsia"/>
          <w:color w:val="000000" w:themeColor="text1"/>
        </w:rPr>
        <w:lastRenderedPageBreak/>
        <w:t>有關臺北市、新北市近年依身權法第88條規定裁罰情形，據臺北市政府稱，僅木柵高工無障礙改善案有裁罰1件，係為檢舉案且未於期限內改善，故依法裁罰6萬元，另臺北市政府建築管理處對於「公共建築物」各類組訂有輔導期程，有關學校類無障礙環境於1</w:t>
      </w:r>
      <w:r w:rsidRPr="007D7B21">
        <w:rPr>
          <w:color w:val="000000" w:themeColor="text1"/>
        </w:rPr>
        <w:t>11</w:t>
      </w:r>
      <w:r w:rsidRPr="007D7B21">
        <w:rPr>
          <w:rFonts w:hint="eastAsia"/>
          <w:color w:val="000000" w:themeColor="text1"/>
        </w:rPr>
        <w:t>年起開始輔導，現仍於輔導期內，故未開始裁罰且現階段以輔導代替裁罰等語。另，新北市工務局稱，該府近年並無裁罰紀錄，原因係為新北市校園內</w:t>
      </w:r>
      <w:r w:rsidR="006F108D" w:rsidRPr="007D7B21">
        <w:rPr>
          <w:rFonts w:hint="eastAsia"/>
          <w:color w:val="000000" w:themeColor="text1"/>
        </w:rPr>
        <w:t>現有</w:t>
      </w:r>
      <w:r w:rsidRPr="007D7B21">
        <w:rPr>
          <w:rFonts w:hint="eastAsia"/>
          <w:color w:val="000000" w:themeColor="text1"/>
        </w:rPr>
        <w:t>各時期建築物，列管時間點不同，僅能逐步協助教育局盤點，且以輔導為主等語。顯見在現行機制下裁罰形同具文</w:t>
      </w:r>
      <w:bookmarkStart w:id="53" w:name="_Hlk113378721"/>
      <w:r w:rsidRPr="007D7B21">
        <w:rPr>
          <w:rFonts w:hint="eastAsia"/>
          <w:color w:val="000000" w:themeColor="text1"/>
        </w:rPr>
        <w:t>，洵未依法執行查辦</w:t>
      </w:r>
      <w:bookmarkEnd w:id="53"/>
      <w:r w:rsidRPr="007D7B21">
        <w:rPr>
          <w:rFonts w:hint="eastAsia"/>
          <w:color w:val="000000" w:themeColor="text1"/>
        </w:rPr>
        <w:t>。</w:t>
      </w:r>
    </w:p>
    <w:p w:rsidR="002C37FF" w:rsidRPr="007D7B21" w:rsidRDefault="002C37FF" w:rsidP="007B34F5">
      <w:pPr>
        <w:pStyle w:val="3"/>
        <w:rPr>
          <w:color w:val="000000" w:themeColor="text1"/>
        </w:rPr>
      </w:pPr>
      <w:r w:rsidRPr="007D7B21">
        <w:rPr>
          <w:rFonts w:hint="eastAsia"/>
          <w:color w:val="000000" w:themeColor="text1"/>
        </w:rPr>
        <w:t>據此，本院發現臺北市木柵高工諸多無障礙設備及斜坡道沒有到位，亦缺乏部分升降設備，另有多媒體中心、製圖科</w:t>
      </w:r>
      <w:r w:rsidR="006F108D" w:rsidRPr="007D7B21">
        <w:rPr>
          <w:rFonts w:hint="eastAsia"/>
          <w:color w:val="000000" w:themeColor="text1"/>
        </w:rPr>
        <w:t>教室</w:t>
      </w:r>
      <w:r w:rsidRPr="007D7B21">
        <w:rPr>
          <w:rFonts w:hint="eastAsia"/>
          <w:color w:val="000000" w:themeColor="text1"/>
        </w:rPr>
        <w:t>等，</w:t>
      </w:r>
      <w:r w:rsidR="006F108D" w:rsidRPr="007D7B21">
        <w:rPr>
          <w:rFonts w:hint="eastAsia"/>
          <w:color w:val="000000" w:themeColor="text1"/>
        </w:rPr>
        <w:t>容未</w:t>
      </w:r>
      <w:r w:rsidRPr="007D7B21">
        <w:rPr>
          <w:rFonts w:hint="eastAsia"/>
          <w:color w:val="000000" w:themeColor="text1"/>
        </w:rPr>
        <w:t>提供相關設備致限縮障礙者活動環境，教學環境亦</w:t>
      </w:r>
      <w:r w:rsidR="007B34F5" w:rsidRPr="007D7B21">
        <w:rPr>
          <w:rFonts w:hint="eastAsia"/>
          <w:color w:val="000000" w:themeColor="text1"/>
        </w:rPr>
        <w:t>未</w:t>
      </w:r>
      <w:r w:rsidRPr="007D7B21">
        <w:rPr>
          <w:rFonts w:hint="eastAsia"/>
          <w:color w:val="000000" w:themeColor="text1"/>
        </w:rPr>
        <w:t>妥適規劃，不僅要提供無障礙教學環境，另要進行融合，有很大的改善空間，臺北市政府教育局應進行全盤性之盤點；另新北市鶯歌國中建物老舊且有「老背少</w:t>
      </w:r>
      <w:r w:rsidRPr="007D7B21">
        <w:rPr>
          <w:rStyle w:val="aff4"/>
          <w:color w:val="000000" w:themeColor="text1"/>
        </w:rPr>
        <w:footnoteReference w:id="7"/>
      </w:r>
      <w:r w:rsidRPr="007D7B21">
        <w:rPr>
          <w:rFonts w:hint="eastAsia"/>
          <w:color w:val="000000" w:themeColor="text1"/>
        </w:rPr>
        <w:t>」之情形，校舍因地形高低落差大，尚非該校校長及校內兼辦行政教師得自行研議改善，新北市政府允宜積極協助盤點相關設施設備，研謀改善。本案抽查2校個案之發現，僅為全國校園無障礙設施待改善之一隅，教育部允應落實盤點及統計工作。</w:t>
      </w:r>
    </w:p>
    <w:p w:rsidR="0005476B" w:rsidRPr="007D7B21" w:rsidRDefault="007B34F5" w:rsidP="007B34F5">
      <w:pPr>
        <w:pStyle w:val="2"/>
        <w:rPr>
          <w:color w:val="000000" w:themeColor="text1"/>
        </w:rPr>
      </w:pPr>
      <w:r w:rsidRPr="007D7B21">
        <w:rPr>
          <w:rFonts w:hint="eastAsia"/>
          <w:color w:val="000000" w:themeColor="text1"/>
        </w:rPr>
        <w:t>綜上，校園無障礙環境及設備，囿於經費而採逐項進行改善之作法，難有整體規劃，教育部推動校園無</w:t>
      </w:r>
      <w:r w:rsidRPr="007D7B21">
        <w:rPr>
          <w:rFonts w:hint="eastAsia"/>
          <w:color w:val="000000" w:themeColor="text1"/>
        </w:rPr>
        <w:lastRenderedPageBreak/>
        <w:t>障礙政策多年，截至</w:t>
      </w:r>
      <w:r w:rsidR="00A33FE2" w:rsidRPr="007D7B21">
        <w:rPr>
          <w:rFonts w:hint="eastAsia"/>
          <w:color w:val="000000" w:themeColor="text1"/>
        </w:rPr>
        <w:t>111年3月30日</w:t>
      </w:r>
      <w:r w:rsidRPr="007D7B21">
        <w:rPr>
          <w:rFonts w:hint="eastAsia"/>
          <w:color w:val="000000" w:themeColor="text1"/>
        </w:rPr>
        <w:t>，教育部所屬機關設置無障礙設施，共計88,475「處」應設置，9,464「處」未設置，12,533「處」待改善，不合格率24.86％；無障礙電梯共計15,443「處」應設置，1,441「處」未設置，2,563「處」待改善，不合格率25.93％；無障礙停車位共計10,875「處」需設置，4,169「處」未設置，821「處」待改善，不合格率45.89％。經查，據身權法第88條規定，不合格處所可勒令停止使用外，並有相關罰則。</w:t>
      </w:r>
      <w:bookmarkStart w:id="54" w:name="_Hlk114499352"/>
      <w:r w:rsidRPr="007D7B21">
        <w:rPr>
          <w:rFonts w:hint="eastAsia"/>
          <w:color w:val="000000" w:themeColor="text1"/>
        </w:rPr>
        <w:t>然上開統計係由各校自行於網路填報，</w:t>
      </w:r>
      <w:r w:rsidR="00FF61F2" w:rsidRPr="007D7B21">
        <w:rPr>
          <w:rFonts w:hint="eastAsia"/>
          <w:color w:val="000000" w:themeColor="text1"/>
        </w:rPr>
        <w:t>直轄市、縣（市）政府除未有覆核機制及正確性不足外，亦有部分學校未落實填報，且以「處」為單位進行統計以美化改善成果，無法掌握現有符合無障礙規定之「學校數」，基礎資料之盤點工作仍未盡健全，且未能積極提出改善優先順序及改善計畫，均難辭監督與管理失當之責。教育部允應全面盤點有關預算及無障礙設施環境現況，建立專業輔導改善機制，確實督導該管直轄市、縣（市）政府及所屬學校，賡續積極辦理有關業務，除由目的事業主管機關據以論處未符規定之單位外，並積極爭取政府公共建設計畫，</w:t>
      </w:r>
      <w:r w:rsidRPr="007D7B21">
        <w:rPr>
          <w:rFonts w:hint="eastAsia"/>
          <w:color w:val="000000" w:themeColor="text1"/>
        </w:rPr>
        <w:t>全面性關注校園整體設施，將校園無障礙政策普及化、常態化。</w:t>
      </w:r>
      <w:bookmarkEnd w:id="54"/>
      <w:r w:rsidR="0005476B" w:rsidRPr="007D7B21">
        <w:rPr>
          <w:color w:val="000000" w:themeColor="text1"/>
        </w:rPr>
        <w:br w:type="page"/>
      </w:r>
    </w:p>
    <w:p w:rsidR="00055E54" w:rsidRPr="007D7B21" w:rsidRDefault="00055E54" w:rsidP="00987A8F">
      <w:pPr>
        <w:pStyle w:val="3"/>
        <w:numPr>
          <w:ilvl w:val="0"/>
          <w:numId w:val="0"/>
        </w:numPr>
        <w:spacing w:line="460" w:lineRule="exact"/>
        <w:ind w:left="680"/>
        <w:rPr>
          <w:rFonts w:ascii="Times New Roman" w:hAnsi="Times New Roman"/>
          <w:color w:val="000000" w:themeColor="text1"/>
        </w:rPr>
      </w:pPr>
      <w:r w:rsidRPr="007D7B21">
        <w:rPr>
          <w:rFonts w:hint="eastAsia"/>
          <w:color w:val="000000" w:themeColor="text1"/>
        </w:rPr>
        <w:lastRenderedPageBreak/>
        <w:t xml:space="preserve">　　綜上所述，</w:t>
      </w:r>
      <w:r w:rsidR="007B2048" w:rsidRPr="007D7B21">
        <w:rPr>
          <w:rFonts w:ascii="Times New Roman" w:hint="eastAsia"/>
          <w:color w:val="000000" w:themeColor="text1"/>
        </w:rPr>
        <w:t>身權法自</w:t>
      </w:r>
      <w:r w:rsidR="007B2048" w:rsidRPr="007D7B21">
        <w:rPr>
          <w:rFonts w:ascii="Times New Roman" w:hint="eastAsia"/>
          <w:color w:val="000000" w:themeColor="text1"/>
        </w:rPr>
        <w:t>69</w:t>
      </w:r>
      <w:r w:rsidR="007B2048" w:rsidRPr="007D7B21">
        <w:rPr>
          <w:rFonts w:ascii="Times New Roman" w:hint="eastAsia"/>
          <w:color w:val="000000" w:themeColor="text1"/>
        </w:rPr>
        <w:t>年</w:t>
      </w:r>
      <w:r w:rsidR="007B2048" w:rsidRPr="007D7B21">
        <w:rPr>
          <w:rFonts w:ascii="Times New Roman" w:hint="eastAsia"/>
          <w:color w:val="000000" w:themeColor="text1"/>
        </w:rPr>
        <w:t>6</w:t>
      </w:r>
      <w:r w:rsidR="007B2048" w:rsidRPr="007D7B21">
        <w:rPr>
          <w:rFonts w:ascii="Times New Roman" w:hint="eastAsia"/>
          <w:color w:val="000000" w:themeColor="text1"/>
        </w:rPr>
        <w:t>月</w:t>
      </w:r>
      <w:r w:rsidR="007B2048" w:rsidRPr="007D7B21">
        <w:rPr>
          <w:rFonts w:ascii="Times New Roman" w:hint="eastAsia"/>
          <w:color w:val="000000" w:themeColor="text1"/>
        </w:rPr>
        <w:t>2</w:t>
      </w:r>
      <w:r w:rsidR="007B2048" w:rsidRPr="007D7B21">
        <w:rPr>
          <w:rFonts w:ascii="Times New Roman" w:hint="eastAsia"/>
          <w:color w:val="000000" w:themeColor="text1"/>
        </w:rPr>
        <w:t>日公布已逾</w:t>
      </w:r>
      <w:r w:rsidR="007B2048" w:rsidRPr="007D7B21">
        <w:rPr>
          <w:rFonts w:ascii="Times New Roman" w:hint="eastAsia"/>
          <w:color w:val="000000" w:themeColor="text1"/>
        </w:rPr>
        <w:t>42</w:t>
      </w:r>
      <w:r w:rsidR="007B2048" w:rsidRPr="007D7B21">
        <w:rPr>
          <w:rFonts w:ascii="Times New Roman" w:hint="eastAsia"/>
          <w:color w:val="000000" w:themeColor="text1"/>
        </w:rPr>
        <w:t>年，教育部推動校園無障礙政策迄今</w:t>
      </w:r>
      <w:r w:rsidR="007B2048" w:rsidRPr="007D7B21">
        <w:rPr>
          <w:rFonts w:ascii="Times New Roman" w:hint="eastAsia"/>
          <w:color w:val="000000" w:themeColor="text1"/>
        </w:rPr>
        <w:t>30</w:t>
      </w:r>
      <w:r w:rsidR="007B2048" w:rsidRPr="007D7B21">
        <w:rPr>
          <w:rFonts w:ascii="Times New Roman" w:hint="eastAsia"/>
          <w:color w:val="000000" w:themeColor="text1"/>
        </w:rPr>
        <w:t>餘年，截至</w:t>
      </w:r>
      <w:r w:rsidR="00A33FE2" w:rsidRPr="007D7B21">
        <w:rPr>
          <w:rFonts w:ascii="Times New Roman" w:hint="eastAsia"/>
          <w:color w:val="000000" w:themeColor="text1"/>
        </w:rPr>
        <w:t>111</w:t>
      </w:r>
      <w:r w:rsidR="00A33FE2" w:rsidRPr="007D7B21">
        <w:rPr>
          <w:rFonts w:ascii="Times New Roman" w:hint="eastAsia"/>
          <w:color w:val="000000" w:themeColor="text1"/>
        </w:rPr>
        <w:t>年</w:t>
      </w:r>
      <w:r w:rsidR="00A33FE2" w:rsidRPr="007D7B21">
        <w:rPr>
          <w:rFonts w:ascii="Times New Roman" w:hint="eastAsia"/>
          <w:color w:val="000000" w:themeColor="text1"/>
        </w:rPr>
        <w:t>3</w:t>
      </w:r>
      <w:r w:rsidR="00A33FE2" w:rsidRPr="007D7B21">
        <w:rPr>
          <w:rFonts w:ascii="Times New Roman" w:hint="eastAsia"/>
          <w:color w:val="000000" w:themeColor="text1"/>
        </w:rPr>
        <w:t>月</w:t>
      </w:r>
      <w:r w:rsidR="00A33FE2" w:rsidRPr="007D7B21">
        <w:rPr>
          <w:rFonts w:ascii="Times New Roman" w:hint="eastAsia"/>
          <w:color w:val="000000" w:themeColor="text1"/>
        </w:rPr>
        <w:t>30</w:t>
      </w:r>
      <w:r w:rsidR="00A33FE2" w:rsidRPr="007D7B21">
        <w:rPr>
          <w:rFonts w:ascii="Times New Roman" w:hint="eastAsia"/>
          <w:color w:val="000000" w:themeColor="text1"/>
        </w:rPr>
        <w:t>日</w:t>
      </w:r>
      <w:r w:rsidR="007B2048" w:rsidRPr="007D7B21">
        <w:rPr>
          <w:rFonts w:ascii="Times New Roman" w:hint="eastAsia"/>
          <w:color w:val="000000" w:themeColor="text1"/>
        </w:rPr>
        <w:t>之統計，「無障礙設施」、「無障礙電梯」及「無障礙停車位」，共計有</w:t>
      </w:r>
      <w:r w:rsidR="003D0202" w:rsidRPr="007D7B21">
        <w:rPr>
          <w:rFonts w:ascii="Times New Roman" w:hint="eastAsia"/>
          <w:color w:val="000000" w:themeColor="text1"/>
        </w:rPr>
        <w:t>114,604</w:t>
      </w:r>
      <w:r w:rsidR="007B2048" w:rsidRPr="007D7B21">
        <w:rPr>
          <w:rFonts w:ascii="Times New Roman" w:hint="eastAsia"/>
          <w:color w:val="000000" w:themeColor="text1"/>
        </w:rPr>
        <w:t>「處」應設置，</w:t>
      </w:r>
      <w:r w:rsidR="007B2048" w:rsidRPr="007D7B21">
        <w:rPr>
          <w:rFonts w:ascii="Times New Roman" w:hint="eastAsia"/>
          <w:color w:val="000000" w:themeColor="text1"/>
        </w:rPr>
        <w:t>15,074</w:t>
      </w:r>
      <w:r w:rsidR="007B2048" w:rsidRPr="007D7B21">
        <w:rPr>
          <w:rFonts w:ascii="Times New Roman" w:hint="eastAsia"/>
          <w:color w:val="000000" w:themeColor="text1"/>
        </w:rPr>
        <w:t>「處」需設置惟尚未設置，</w:t>
      </w:r>
      <w:r w:rsidR="007B2048" w:rsidRPr="007D7B21">
        <w:rPr>
          <w:rFonts w:ascii="Times New Roman" w:hint="eastAsia"/>
          <w:color w:val="000000" w:themeColor="text1"/>
        </w:rPr>
        <w:t>15,917</w:t>
      </w:r>
      <w:r w:rsidR="007B2048" w:rsidRPr="007D7B21">
        <w:rPr>
          <w:rFonts w:ascii="Times New Roman" w:hint="eastAsia"/>
          <w:color w:val="000000" w:themeColor="text1"/>
        </w:rPr>
        <w:t>「處」老舊或未符新規定待改善，改善成效亟待檢討。復上開統計資料係由各校自行於網路填報，</w:t>
      </w:r>
      <w:bookmarkStart w:id="55" w:name="_Hlk114500011"/>
      <w:r w:rsidR="00FF61F2" w:rsidRPr="007D7B21">
        <w:rPr>
          <w:rFonts w:hint="eastAsia"/>
          <w:color w:val="000000" w:themeColor="text1"/>
        </w:rPr>
        <w:t>直轄市、縣（市）政府</w:t>
      </w:r>
      <w:bookmarkEnd w:id="55"/>
      <w:r w:rsidR="00FF61F2" w:rsidRPr="007D7B21">
        <w:rPr>
          <w:rFonts w:hint="eastAsia"/>
          <w:color w:val="000000" w:themeColor="text1"/>
        </w:rPr>
        <w:t>除未有覆核機制及正確性不足外</w:t>
      </w:r>
      <w:r w:rsidR="007B2048" w:rsidRPr="007D7B21">
        <w:rPr>
          <w:rFonts w:ascii="Times New Roman" w:hint="eastAsia"/>
          <w:color w:val="000000" w:themeColor="text1"/>
        </w:rPr>
        <w:t>，亦有部分學校未落實填報，且以「處」為單位進行統計以美化改善成果，無法掌握現有符合無障礙規定之「學校數」，基礎資料之盤點工作仍未盡健全，無論係改善成效或列管資料正確性，均難辭監督與管理失當之</w:t>
      </w:r>
      <w:r w:rsidR="008A20AB" w:rsidRPr="007D7B21">
        <w:rPr>
          <w:rFonts w:ascii="Times New Roman" w:hint="eastAsia"/>
          <w:color w:val="000000" w:themeColor="text1"/>
        </w:rPr>
        <w:t>責</w:t>
      </w:r>
      <w:r w:rsidR="00C645A7" w:rsidRPr="007D7B21">
        <w:rPr>
          <w:rFonts w:ascii="Times New Roman" w:hint="eastAsia"/>
          <w:color w:val="000000" w:themeColor="text1"/>
        </w:rPr>
        <w:t>，</w:t>
      </w:r>
      <w:r w:rsidRPr="007D7B21">
        <w:rPr>
          <w:rFonts w:ascii="Times New Roman" w:hAnsi="Times New Roman"/>
          <w:color w:val="000000" w:themeColor="text1"/>
        </w:rPr>
        <w:t>爰依憲法第</w:t>
      </w:r>
      <w:r w:rsidRPr="007D7B21">
        <w:rPr>
          <w:rFonts w:ascii="Times New Roman" w:hAnsi="Times New Roman"/>
          <w:color w:val="000000" w:themeColor="text1"/>
        </w:rPr>
        <w:t>97</w:t>
      </w:r>
      <w:r w:rsidRPr="007D7B21">
        <w:rPr>
          <w:rFonts w:ascii="Times New Roman" w:hAnsi="Times New Roman"/>
          <w:color w:val="000000" w:themeColor="text1"/>
        </w:rPr>
        <w:t>條第</w:t>
      </w:r>
      <w:r w:rsidRPr="007D7B21">
        <w:rPr>
          <w:rFonts w:ascii="Times New Roman" w:hAnsi="Times New Roman"/>
          <w:color w:val="000000" w:themeColor="text1"/>
        </w:rPr>
        <w:t>1</w:t>
      </w:r>
      <w:r w:rsidRPr="007D7B21">
        <w:rPr>
          <w:rFonts w:ascii="Times New Roman" w:hAnsi="Times New Roman"/>
          <w:color w:val="000000" w:themeColor="text1"/>
        </w:rPr>
        <w:t>項及監察法第</w:t>
      </w:r>
      <w:r w:rsidRPr="007D7B21">
        <w:rPr>
          <w:rFonts w:ascii="Times New Roman" w:hAnsi="Times New Roman"/>
          <w:color w:val="000000" w:themeColor="text1"/>
        </w:rPr>
        <w:t>24</w:t>
      </w:r>
      <w:r w:rsidRPr="007D7B21">
        <w:rPr>
          <w:rFonts w:ascii="Times New Roman" w:hAnsi="Times New Roman"/>
          <w:color w:val="000000" w:themeColor="text1"/>
        </w:rPr>
        <w:t>條之規定提案糾正，移送</w:t>
      </w:r>
      <w:r w:rsidR="006B0525" w:rsidRPr="007D7B21">
        <w:rPr>
          <w:rFonts w:ascii="Times New Roman" w:hAnsi="Times New Roman" w:hint="eastAsia"/>
          <w:color w:val="000000" w:themeColor="text1"/>
        </w:rPr>
        <w:t>行政院轉飭所屬</w:t>
      </w:r>
      <w:r w:rsidRPr="007D7B21">
        <w:rPr>
          <w:rFonts w:ascii="Times New Roman" w:hAnsi="Times New Roman" w:hint="eastAsia"/>
          <w:color w:val="000000" w:themeColor="text1"/>
        </w:rPr>
        <w:t>確實檢討改進見復</w:t>
      </w:r>
      <w:r w:rsidRPr="007D7B21">
        <w:rPr>
          <w:rFonts w:ascii="Times New Roman" w:hAnsi="Times New Roman"/>
          <w:color w:val="000000" w:themeColor="text1"/>
        </w:rPr>
        <w:t>。</w:t>
      </w:r>
    </w:p>
    <w:p w:rsidR="00C645A7" w:rsidRPr="007D7B21" w:rsidRDefault="00C645A7" w:rsidP="00987A8F">
      <w:pPr>
        <w:pStyle w:val="3"/>
        <w:numPr>
          <w:ilvl w:val="0"/>
          <w:numId w:val="0"/>
        </w:numPr>
        <w:spacing w:line="460" w:lineRule="exact"/>
        <w:ind w:left="680"/>
        <w:rPr>
          <w:rFonts w:ascii="Times New Roman" w:hAnsi="Times New Roman"/>
          <w:color w:val="000000" w:themeColor="text1"/>
        </w:rPr>
      </w:pPr>
    </w:p>
    <w:p w:rsidR="00C645A7" w:rsidRPr="007D7B21" w:rsidRDefault="00C645A7" w:rsidP="00133AA2">
      <w:pPr>
        <w:pStyle w:val="af4"/>
        <w:rPr>
          <w:rFonts w:hAnsi="標楷體"/>
          <w:bCs/>
          <w:color w:val="000000" w:themeColor="text1"/>
        </w:rPr>
      </w:pPr>
      <w:bookmarkStart w:id="56" w:name="_Toc524895649"/>
      <w:bookmarkStart w:id="57" w:name="_Toc524896195"/>
      <w:bookmarkStart w:id="58" w:name="_Toc524896225"/>
      <w:bookmarkStart w:id="59" w:name="_Toc524902730"/>
      <w:bookmarkStart w:id="60" w:name="_GoBack"/>
      <w:bookmarkEnd w:id="36"/>
      <w:bookmarkEnd w:id="37"/>
      <w:bookmarkEnd w:id="38"/>
      <w:bookmarkEnd w:id="39"/>
      <w:bookmarkEnd w:id="40"/>
      <w:bookmarkEnd w:id="41"/>
      <w:bookmarkEnd w:id="42"/>
      <w:bookmarkEnd w:id="43"/>
      <w:bookmarkEnd w:id="44"/>
      <w:bookmarkEnd w:id="45"/>
      <w:bookmarkEnd w:id="56"/>
      <w:bookmarkEnd w:id="57"/>
      <w:bookmarkEnd w:id="58"/>
      <w:bookmarkEnd w:id="60"/>
    </w:p>
    <w:bookmarkEnd w:id="59"/>
    <w:p w:rsidR="00C645A7" w:rsidRPr="007D7B21" w:rsidRDefault="00C645A7" w:rsidP="00133AA2">
      <w:pPr>
        <w:pStyle w:val="af4"/>
        <w:rPr>
          <w:rFonts w:hAnsi="標楷體"/>
          <w:bCs/>
          <w:color w:val="000000" w:themeColor="text1"/>
        </w:rPr>
      </w:pPr>
    </w:p>
    <w:sectPr w:rsidR="00C645A7" w:rsidRPr="007D7B21" w:rsidSect="00BF070B">
      <w:footerReference w:type="default" r:id="rId11"/>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D3" w:rsidRDefault="00D711D3">
      <w:r>
        <w:separator/>
      </w:r>
    </w:p>
  </w:endnote>
  <w:endnote w:type="continuationSeparator" w:id="0">
    <w:p w:rsidR="00D711D3" w:rsidRDefault="00D7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3E" w:rsidRDefault="00B0023E">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C13E99">
      <w:rPr>
        <w:rStyle w:val="af0"/>
        <w:noProof/>
        <w:sz w:val="24"/>
      </w:rPr>
      <w:t>25</w:t>
    </w:r>
    <w:r>
      <w:rPr>
        <w:rStyle w:val="af0"/>
        <w:sz w:val="24"/>
      </w:rPr>
      <w:fldChar w:fldCharType="end"/>
    </w:r>
  </w:p>
  <w:p w:rsidR="00B0023E" w:rsidRDefault="00B0023E">
    <w:pPr>
      <w:framePr w:wrap="auto" w:hAnchor="text" w:y="-955"/>
      <w:ind w:left="640" w:right="360" w:firstLine="448"/>
      <w:jc w:val="right"/>
    </w:pPr>
  </w:p>
  <w:p w:rsidR="00B0023E" w:rsidRDefault="00B00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D3" w:rsidRDefault="00D711D3">
      <w:r>
        <w:separator/>
      </w:r>
    </w:p>
  </w:footnote>
  <w:footnote w:type="continuationSeparator" w:id="0">
    <w:p w:rsidR="00D711D3" w:rsidRDefault="00D711D3">
      <w:r>
        <w:continuationSeparator/>
      </w:r>
    </w:p>
  </w:footnote>
  <w:footnote w:id="1">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原名稱：殘障福利法、身心障礙者保護法。</w:t>
      </w:r>
    </w:p>
  </w:footnote>
  <w:footnote w:id="2">
    <w:p w:rsidR="002C37FF" w:rsidRPr="00791CC9" w:rsidRDefault="002C37FF" w:rsidP="002C37FF">
      <w:pPr>
        <w:pStyle w:val="aff2"/>
        <w:rPr>
          <w:color w:val="000000" w:themeColor="text1"/>
        </w:rPr>
      </w:pPr>
      <w:r w:rsidRPr="00791CC9">
        <w:rPr>
          <w:rStyle w:val="aff4"/>
          <w:color w:val="000000" w:themeColor="text1"/>
        </w:rPr>
        <w:footnoteRef/>
      </w:r>
      <w:r w:rsidRPr="00791CC9">
        <w:rPr>
          <w:rFonts w:hint="eastAsia"/>
          <w:color w:val="000000" w:themeColor="text1"/>
        </w:rPr>
        <w:t xml:space="preserve"> 2006年身心障礙者權利公約（The Convention on the Rights of Persons with Disabilities，縮寫為CRPD）由聯合國第61/106號決議通過，並在2008正式生效，希望能「促進、保護和確保實現身心障礙者所有人權和基本自由充分、平等享有，並促進對身心障礙者固有尊嚴的尊重。」，我國於2007年時將原有之身心障礙者保護法修改為身心障礙者權益保障法納入CRPD之部分精神與內涵。2014年立法院通過身心障礙者權利公約施行法，正式將CRPD國內法化。</w:t>
      </w:r>
    </w:p>
  </w:footnote>
  <w:footnote w:id="3">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「無障礙設施」：需設置但尚未設置計9,464「處」，以及未符新規定計12,533「處」待改善，合計21,997處。「無障礙電梯」：需設置但尚未設置計</w:t>
      </w:r>
      <w:r w:rsidRPr="00791CC9">
        <w:rPr>
          <w:color w:val="000000" w:themeColor="text1"/>
        </w:rPr>
        <w:t>1,441</w:t>
      </w:r>
      <w:r w:rsidRPr="00791CC9">
        <w:rPr>
          <w:rFonts w:hint="eastAsia"/>
          <w:color w:val="000000" w:themeColor="text1"/>
        </w:rPr>
        <w:t>「處」未設置，及因老舊或未符新規定計2</w:t>
      </w:r>
      <w:r w:rsidRPr="00791CC9">
        <w:rPr>
          <w:color w:val="000000" w:themeColor="text1"/>
        </w:rPr>
        <w:t>,563</w:t>
      </w:r>
      <w:r w:rsidRPr="00791CC9">
        <w:rPr>
          <w:rFonts w:hint="eastAsia"/>
          <w:color w:val="000000" w:themeColor="text1"/>
        </w:rPr>
        <w:t>「處」待改善，合計4</w:t>
      </w:r>
      <w:r w:rsidRPr="00791CC9">
        <w:rPr>
          <w:color w:val="000000" w:themeColor="text1"/>
        </w:rPr>
        <w:t>,</w:t>
      </w:r>
      <w:r w:rsidRPr="00791CC9">
        <w:rPr>
          <w:rFonts w:hint="eastAsia"/>
          <w:color w:val="000000" w:themeColor="text1"/>
        </w:rPr>
        <w:t>00</w:t>
      </w:r>
      <w:r w:rsidRPr="00791CC9">
        <w:rPr>
          <w:color w:val="000000" w:themeColor="text1"/>
        </w:rPr>
        <w:t>4</w:t>
      </w:r>
      <w:r w:rsidRPr="00791CC9">
        <w:rPr>
          <w:rFonts w:hint="eastAsia"/>
          <w:color w:val="000000" w:themeColor="text1"/>
        </w:rPr>
        <w:t>處。「無障礙停車位」：需設置但尚未設置計</w:t>
      </w:r>
      <w:r w:rsidRPr="00791CC9">
        <w:rPr>
          <w:color w:val="000000" w:themeColor="text1"/>
        </w:rPr>
        <w:t>4,169</w:t>
      </w:r>
      <w:r w:rsidRPr="00791CC9">
        <w:rPr>
          <w:rFonts w:hint="eastAsia"/>
          <w:color w:val="000000" w:themeColor="text1"/>
        </w:rPr>
        <w:t>「處」未設置，及因老舊或未符新規定計</w:t>
      </w:r>
      <w:r w:rsidRPr="00791CC9">
        <w:rPr>
          <w:color w:val="000000" w:themeColor="text1"/>
        </w:rPr>
        <w:t>821</w:t>
      </w:r>
      <w:r w:rsidRPr="00791CC9">
        <w:rPr>
          <w:rFonts w:hint="eastAsia"/>
          <w:color w:val="000000" w:themeColor="text1"/>
        </w:rPr>
        <w:t>「處」待改善合計4</w:t>
      </w:r>
      <w:r w:rsidRPr="00791CC9">
        <w:rPr>
          <w:color w:val="000000" w:themeColor="text1"/>
        </w:rPr>
        <w:t>,</w:t>
      </w:r>
      <w:r w:rsidRPr="00791CC9">
        <w:rPr>
          <w:rFonts w:hint="eastAsia"/>
          <w:color w:val="000000" w:themeColor="text1"/>
        </w:rPr>
        <w:t>9</w:t>
      </w:r>
      <w:r w:rsidRPr="00791CC9">
        <w:rPr>
          <w:color w:val="000000" w:themeColor="text1"/>
        </w:rPr>
        <w:t>90</w:t>
      </w:r>
      <w:r w:rsidRPr="00791CC9">
        <w:rPr>
          <w:rFonts w:hint="eastAsia"/>
          <w:color w:val="000000" w:themeColor="text1"/>
        </w:rPr>
        <w:t>處。</w:t>
      </w:r>
    </w:p>
  </w:footnote>
  <w:footnote w:id="4">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教育部就本案詢問提供書面說明資料。</w:t>
      </w:r>
    </w:p>
  </w:footnote>
  <w:footnote w:id="5">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網址：</w:t>
      </w:r>
      <w:r w:rsidRPr="00791CC9">
        <w:rPr>
          <w:color w:val="000000" w:themeColor="text1"/>
        </w:rPr>
        <w:t>https://obstacle-free.set.edu.tw/A60010/Presentation?sn=&amp;schId=383401</w:t>
      </w:r>
    </w:p>
  </w:footnote>
  <w:footnote w:id="6">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w:t>
      </w:r>
      <w:r w:rsidRPr="00791CC9">
        <w:rPr>
          <w:rFonts w:hint="eastAsia"/>
          <w:color w:val="000000" w:themeColor="text1"/>
        </w:rPr>
        <w:t>網址：</w:t>
      </w:r>
      <w:r w:rsidRPr="00791CC9">
        <w:rPr>
          <w:color w:val="000000" w:themeColor="text1"/>
        </w:rPr>
        <w:t>https://obstacle-free.set.edu.tw/A60010/Presentation?sn=&amp;schId=14521</w:t>
      </w:r>
    </w:p>
  </w:footnote>
  <w:footnote w:id="7">
    <w:p w:rsidR="002C37FF" w:rsidRPr="00791CC9" w:rsidRDefault="002C37FF" w:rsidP="002C37FF">
      <w:pPr>
        <w:pStyle w:val="aff2"/>
        <w:rPr>
          <w:color w:val="000000" w:themeColor="text1"/>
        </w:rPr>
      </w:pPr>
      <w:r w:rsidRPr="00791CC9">
        <w:rPr>
          <w:rStyle w:val="aff4"/>
          <w:color w:val="000000" w:themeColor="text1"/>
        </w:rPr>
        <w:footnoteRef/>
      </w:r>
      <w:r w:rsidRPr="00791CC9">
        <w:rPr>
          <w:color w:val="000000" w:themeColor="text1"/>
        </w:rPr>
        <w:t xml:space="preserve"> 2019</w:t>
      </w:r>
      <w:r w:rsidRPr="00791CC9">
        <w:rPr>
          <w:rFonts w:hint="eastAsia"/>
          <w:color w:val="000000" w:themeColor="text1"/>
        </w:rPr>
        <w:t>年</w:t>
      </w:r>
      <w:r w:rsidRPr="00791CC9">
        <w:rPr>
          <w:color w:val="000000" w:themeColor="text1"/>
        </w:rPr>
        <w:t>10</w:t>
      </w:r>
      <w:r w:rsidRPr="00791CC9">
        <w:rPr>
          <w:rFonts w:hint="eastAsia"/>
          <w:color w:val="000000" w:themeColor="text1"/>
        </w:rPr>
        <w:t>月</w:t>
      </w:r>
      <w:r w:rsidRPr="00791CC9">
        <w:rPr>
          <w:color w:val="000000" w:themeColor="text1"/>
        </w:rPr>
        <w:t>23</w:t>
      </w:r>
      <w:r w:rsidRPr="00791CC9">
        <w:rPr>
          <w:rFonts w:hint="eastAsia"/>
          <w:color w:val="000000" w:themeColor="text1"/>
        </w:rPr>
        <w:t>日報導者，林書帆編輯：比地震更致命的「建築殺人」──關於耐震，我們必須知道什麼？（《地震：火環帶上的台灣》書摘），網址：</w:t>
      </w:r>
      <w:r w:rsidRPr="00791CC9">
        <w:rPr>
          <w:color w:val="000000" w:themeColor="text1"/>
        </w:rPr>
        <w:t>https://www.twreporter.org/a/bookreview-earthquake-mapping-an-invisible-taiwan</w:t>
      </w:r>
    </w:p>
    <w:p w:rsidR="002C37FF" w:rsidRPr="00791CC9" w:rsidRDefault="002C37FF" w:rsidP="002C37FF">
      <w:pPr>
        <w:pStyle w:val="aff2"/>
        <w:rPr>
          <w:color w:val="000000" w:themeColor="text1"/>
        </w:rPr>
      </w:pPr>
      <w:r w:rsidRPr="00791CC9">
        <w:rPr>
          <w:rFonts w:hint="eastAsia"/>
          <w:color w:val="000000" w:themeColor="text1"/>
        </w:rPr>
        <w:t>老舊校舍的「後天失調」，則是因為學生數量增加，原有教室不敷使用，有些學校便在舊校舍上加蓋新校舍，形成「老背少」建築，就像一個有年紀的人要站穩已經很吃力，還得背著一個年輕人一樣。如果是在水平方向加蓋，則為了便於通行而採取比鄰相接的方式，但新舊校舍在地震來襲時振動頻率不同，又因相距過近而容易彼此碰撞、進而崩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BC1C3056"/>
    <w:lvl w:ilvl="0" w:tplc="BC34A636">
      <w:start w:val="1"/>
      <w:numFmt w:val="decimal"/>
      <w:pStyle w:val="a2"/>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5"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4"/>
  </w:num>
  <w:num w:numId="13">
    <w:abstractNumId w:val="13"/>
  </w:num>
  <w:num w:numId="14">
    <w:abstractNumId w:val="14"/>
  </w:num>
  <w:num w:numId="15">
    <w:abstractNumId w:val="8"/>
  </w:num>
  <w:num w:numId="16">
    <w:abstractNumId w:val="15"/>
  </w:num>
  <w:num w:numId="17">
    <w:abstractNumId w:val="6"/>
    <w:lvlOverride w:ilvl="0">
      <w:startOverride w:val="1"/>
    </w:lvlOverride>
  </w:num>
  <w:num w:numId="18">
    <w:abstractNumId w:val="5"/>
  </w:num>
  <w:num w:numId="19">
    <w:abstractNumId w:val="9"/>
    <w:lvlOverride w:ilvl="0">
      <w:startOverride w:val="1"/>
    </w:lvlOverride>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82"/>
    <w:rsid w:val="00003595"/>
    <w:rsid w:val="00006961"/>
    <w:rsid w:val="000112BF"/>
    <w:rsid w:val="00012233"/>
    <w:rsid w:val="00017318"/>
    <w:rsid w:val="000246F7"/>
    <w:rsid w:val="00030272"/>
    <w:rsid w:val="00031105"/>
    <w:rsid w:val="0003114D"/>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7164"/>
    <w:rsid w:val="00077553"/>
    <w:rsid w:val="00080040"/>
    <w:rsid w:val="00081C05"/>
    <w:rsid w:val="000837C4"/>
    <w:rsid w:val="000851A2"/>
    <w:rsid w:val="000862CA"/>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D605E"/>
    <w:rsid w:val="000D7567"/>
    <w:rsid w:val="000E250D"/>
    <w:rsid w:val="000E6431"/>
    <w:rsid w:val="000F0D35"/>
    <w:rsid w:val="000F21A5"/>
    <w:rsid w:val="000F2F15"/>
    <w:rsid w:val="000F6DCB"/>
    <w:rsid w:val="00102B9F"/>
    <w:rsid w:val="00103590"/>
    <w:rsid w:val="00105E03"/>
    <w:rsid w:val="00110714"/>
    <w:rsid w:val="00111452"/>
    <w:rsid w:val="00112637"/>
    <w:rsid w:val="00113974"/>
    <w:rsid w:val="0012001E"/>
    <w:rsid w:val="001246F0"/>
    <w:rsid w:val="00126A55"/>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52BB"/>
    <w:rsid w:val="00187679"/>
    <w:rsid w:val="0019090C"/>
    <w:rsid w:val="00190952"/>
    <w:rsid w:val="00192842"/>
    <w:rsid w:val="001959C2"/>
    <w:rsid w:val="00195B6A"/>
    <w:rsid w:val="00196021"/>
    <w:rsid w:val="001A6E07"/>
    <w:rsid w:val="001A7968"/>
    <w:rsid w:val="001B3483"/>
    <w:rsid w:val="001B3C1E"/>
    <w:rsid w:val="001B4494"/>
    <w:rsid w:val="001B48EB"/>
    <w:rsid w:val="001C0D8B"/>
    <w:rsid w:val="001C0DA8"/>
    <w:rsid w:val="001C68E4"/>
    <w:rsid w:val="001D1676"/>
    <w:rsid w:val="001E0D8A"/>
    <w:rsid w:val="001E424F"/>
    <w:rsid w:val="001E67BA"/>
    <w:rsid w:val="001E74C2"/>
    <w:rsid w:val="001F2CFE"/>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377BC"/>
    <w:rsid w:val="002421B5"/>
    <w:rsid w:val="0025106C"/>
    <w:rsid w:val="00252BC4"/>
    <w:rsid w:val="00253FE1"/>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2295"/>
    <w:rsid w:val="002C3787"/>
    <w:rsid w:val="002C37FF"/>
    <w:rsid w:val="002D5C16"/>
    <w:rsid w:val="002E5D91"/>
    <w:rsid w:val="002E72E5"/>
    <w:rsid w:val="002F3DFF"/>
    <w:rsid w:val="002F5E05"/>
    <w:rsid w:val="00307983"/>
    <w:rsid w:val="0031099E"/>
    <w:rsid w:val="00317053"/>
    <w:rsid w:val="0032109C"/>
    <w:rsid w:val="00322B45"/>
    <w:rsid w:val="00323809"/>
    <w:rsid w:val="00323D41"/>
    <w:rsid w:val="00325414"/>
    <w:rsid w:val="003302F1"/>
    <w:rsid w:val="003316F4"/>
    <w:rsid w:val="003319F8"/>
    <w:rsid w:val="003348C8"/>
    <w:rsid w:val="0034470E"/>
    <w:rsid w:val="00352DB0"/>
    <w:rsid w:val="003649AE"/>
    <w:rsid w:val="003663BA"/>
    <w:rsid w:val="00367BA1"/>
    <w:rsid w:val="00371833"/>
    <w:rsid w:val="0037195C"/>
    <w:rsid w:val="00371ED3"/>
    <w:rsid w:val="003746B0"/>
    <w:rsid w:val="00375047"/>
    <w:rsid w:val="0037728A"/>
    <w:rsid w:val="00380B7D"/>
    <w:rsid w:val="00381A99"/>
    <w:rsid w:val="003829C2"/>
    <w:rsid w:val="0038427A"/>
    <w:rsid w:val="00384724"/>
    <w:rsid w:val="0038528E"/>
    <w:rsid w:val="003853C9"/>
    <w:rsid w:val="003919B7"/>
    <w:rsid w:val="00391D57"/>
    <w:rsid w:val="00392292"/>
    <w:rsid w:val="00392E81"/>
    <w:rsid w:val="00396EC5"/>
    <w:rsid w:val="003A1D37"/>
    <w:rsid w:val="003A5B7B"/>
    <w:rsid w:val="003B1017"/>
    <w:rsid w:val="003B3C07"/>
    <w:rsid w:val="003B6775"/>
    <w:rsid w:val="003C5FE2"/>
    <w:rsid w:val="003D0202"/>
    <w:rsid w:val="003D05FB"/>
    <w:rsid w:val="003D1B16"/>
    <w:rsid w:val="003D45BF"/>
    <w:rsid w:val="003D508A"/>
    <w:rsid w:val="003D537F"/>
    <w:rsid w:val="003D7B33"/>
    <w:rsid w:val="003D7B75"/>
    <w:rsid w:val="003E0208"/>
    <w:rsid w:val="003E1DBD"/>
    <w:rsid w:val="003E4B57"/>
    <w:rsid w:val="003F27E1"/>
    <w:rsid w:val="003F2C8B"/>
    <w:rsid w:val="003F437A"/>
    <w:rsid w:val="003F5C2B"/>
    <w:rsid w:val="003F604C"/>
    <w:rsid w:val="004023E9"/>
    <w:rsid w:val="004045E9"/>
    <w:rsid w:val="00413F83"/>
    <w:rsid w:val="0041490C"/>
    <w:rsid w:val="00416191"/>
    <w:rsid w:val="00416721"/>
    <w:rsid w:val="00420E30"/>
    <w:rsid w:val="00421EF0"/>
    <w:rsid w:val="004224FA"/>
    <w:rsid w:val="00423D07"/>
    <w:rsid w:val="004255DB"/>
    <w:rsid w:val="0044346F"/>
    <w:rsid w:val="00446CA2"/>
    <w:rsid w:val="00453112"/>
    <w:rsid w:val="0046520A"/>
    <w:rsid w:val="004672AB"/>
    <w:rsid w:val="00470630"/>
    <w:rsid w:val="004714FE"/>
    <w:rsid w:val="004737CD"/>
    <w:rsid w:val="00485CDE"/>
    <w:rsid w:val="0048694D"/>
    <w:rsid w:val="00490F0C"/>
    <w:rsid w:val="00491202"/>
    <w:rsid w:val="00492E30"/>
    <w:rsid w:val="00494629"/>
    <w:rsid w:val="00494A7B"/>
    <w:rsid w:val="00495053"/>
    <w:rsid w:val="00497BB3"/>
    <w:rsid w:val="004A19A4"/>
    <w:rsid w:val="004A1F59"/>
    <w:rsid w:val="004A29BE"/>
    <w:rsid w:val="004A3225"/>
    <w:rsid w:val="004A33EE"/>
    <w:rsid w:val="004A3AA8"/>
    <w:rsid w:val="004A5623"/>
    <w:rsid w:val="004B13C7"/>
    <w:rsid w:val="004B49B6"/>
    <w:rsid w:val="004B778F"/>
    <w:rsid w:val="004C55A3"/>
    <w:rsid w:val="004C5DD4"/>
    <w:rsid w:val="004C71D7"/>
    <w:rsid w:val="004C7679"/>
    <w:rsid w:val="004D0610"/>
    <w:rsid w:val="004D141F"/>
    <w:rsid w:val="004D6310"/>
    <w:rsid w:val="004E0062"/>
    <w:rsid w:val="004E05A1"/>
    <w:rsid w:val="004E0915"/>
    <w:rsid w:val="004E5413"/>
    <w:rsid w:val="004F1064"/>
    <w:rsid w:val="004F1700"/>
    <w:rsid w:val="004F2D19"/>
    <w:rsid w:val="004F587C"/>
    <w:rsid w:val="004F5E57"/>
    <w:rsid w:val="004F6710"/>
    <w:rsid w:val="00502849"/>
    <w:rsid w:val="00504334"/>
    <w:rsid w:val="005104D7"/>
    <w:rsid w:val="00510B9E"/>
    <w:rsid w:val="0051182F"/>
    <w:rsid w:val="00512458"/>
    <w:rsid w:val="00512A3A"/>
    <w:rsid w:val="005229E9"/>
    <w:rsid w:val="0052385E"/>
    <w:rsid w:val="00524CDC"/>
    <w:rsid w:val="005254B0"/>
    <w:rsid w:val="00527C5B"/>
    <w:rsid w:val="00531D2C"/>
    <w:rsid w:val="00536BC2"/>
    <w:rsid w:val="005406ED"/>
    <w:rsid w:val="005425E1"/>
    <w:rsid w:val="005427C5"/>
    <w:rsid w:val="00542CF6"/>
    <w:rsid w:val="00546DD4"/>
    <w:rsid w:val="00553C03"/>
    <w:rsid w:val="00556382"/>
    <w:rsid w:val="00561A56"/>
    <w:rsid w:val="00563692"/>
    <w:rsid w:val="005644AA"/>
    <w:rsid w:val="0056500A"/>
    <w:rsid w:val="00567540"/>
    <w:rsid w:val="00571349"/>
    <w:rsid w:val="00581B4E"/>
    <w:rsid w:val="005908B8"/>
    <w:rsid w:val="00590A7A"/>
    <w:rsid w:val="005921E4"/>
    <w:rsid w:val="0059512E"/>
    <w:rsid w:val="0059551D"/>
    <w:rsid w:val="005A02C9"/>
    <w:rsid w:val="005A508B"/>
    <w:rsid w:val="005A6AFD"/>
    <w:rsid w:val="005A6DD2"/>
    <w:rsid w:val="005B0949"/>
    <w:rsid w:val="005B0EA2"/>
    <w:rsid w:val="005B4ECD"/>
    <w:rsid w:val="005B755E"/>
    <w:rsid w:val="005C0790"/>
    <w:rsid w:val="005C385D"/>
    <w:rsid w:val="005C3B2D"/>
    <w:rsid w:val="005C56A6"/>
    <w:rsid w:val="005D1C6C"/>
    <w:rsid w:val="005D3B20"/>
    <w:rsid w:val="005D558F"/>
    <w:rsid w:val="005E04DF"/>
    <w:rsid w:val="005E2824"/>
    <w:rsid w:val="005E4533"/>
    <w:rsid w:val="005E5C68"/>
    <w:rsid w:val="005E613C"/>
    <w:rsid w:val="005E65C0"/>
    <w:rsid w:val="005F0390"/>
    <w:rsid w:val="005F2809"/>
    <w:rsid w:val="005F6267"/>
    <w:rsid w:val="00610CA0"/>
    <w:rsid w:val="00612023"/>
    <w:rsid w:val="0061246A"/>
    <w:rsid w:val="006138B3"/>
    <w:rsid w:val="00614190"/>
    <w:rsid w:val="00622A99"/>
    <w:rsid w:val="00622E67"/>
    <w:rsid w:val="0062501E"/>
    <w:rsid w:val="00626EDC"/>
    <w:rsid w:val="006470EC"/>
    <w:rsid w:val="00647324"/>
    <w:rsid w:val="006520E4"/>
    <w:rsid w:val="0065598E"/>
    <w:rsid w:val="00655AF2"/>
    <w:rsid w:val="006568BE"/>
    <w:rsid w:val="0066025D"/>
    <w:rsid w:val="006642FF"/>
    <w:rsid w:val="00665712"/>
    <w:rsid w:val="00675606"/>
    <w:rsid w:val="00675D5D"/>
    <w:rsid w:val="006773EC"/>
    <w:rsid w:val="00680504"/>
    <w:rsid w:val="0068094B"/>
    <w:rsid w:val="00681CD9"/>
    <w:rsid w:val="00681FCA"/>
    <w:rsid w:val="00683E30"/>
    <w:rsid w:val="00687024"/>
    <w:rsid w:val="006877E5"/>
    <w:rsid w:val="00696415"/>
    <w:rsid w:val="006A1945"/>
    <w:rsid w:val="006B0525"/>
    <w:rsid w:val="006B0C87"/>
    <w:rsid w:val="006B1328"/>
    <w:rsid w:val="006B4738"/>
    <w:rsid w:val="006C043D"/>
    <w:rsid w:val="006C2D87"/>
    <w:rsid w:val="006D3691"/>
    <w:rsid w:val="006D5ABF"/>
    <w:rsid w:val="006D76BE"/>
    <w:rsid w:val="006E1BC9"/>
    <w:rsid w:val="006E2DCE"/>
    <w:rsid w:val="006E6027"/>
    <w:rsid w:val="006F108D"/>
    <w:rsid w:val="006F15C4"/>
    <w:rsid w:val="006F3563"/>
    <w:rsid w:val="006F42B9"/>
    <w:rsid w:val="006F6103"/>
    <w:rsid w:val="00700655"/>
    <w:rsid w:val="00704A21"/>
    <w:rsid w:val="00704E00"/>
    <w:rsid w:val="007072DA"/>
    <w:rsid w:val="00707955"/>
    <w:rsid w:val="00717432"/>
    <w:rsid w:val="007209E7"/>
    <w:rsid w:val="00726182"/>
    <w:rsid w:val="00726330"/>
    <w:rsid w:val="00732329"/>
    <w:rsid w:val="007337CA"/>
    <w:rsid w:val="00734CE4"/>
    <w:rsid w:val="00735123"/>
    <w:rsid w:val="00741837"/>
    <w:rsid w:val="007453E6"/>
    <w:rsid w:val="0075243E"/>
    <w:rsid w:val="00752D30"/>
    <w:rsid w:val="00764163"/>
    <w:rsid w:val="007666F5"/>
    <w:rsid w:val="0077309D"/>
    <w:rsid w:val="007733AD"/>
    <w:rsid w:val="007736DB"/>
    <w:rsid w:val="007748B3"/>
    <w:rsid w:val="007773B5"/>
    <w:rsid w:val="007774EE"/>
    <w:rsid w:val="0077766A"/>
    <w:rsid w:val="00781822"/>
    <w:rsid w:val="00783427"/>
    <w:rsid w:val="00783F21"/>
    <w:rsid w:val="0078555C"/>
    <w:rsid w:val="00787159"/>
    <w:rsid w:val="00791668"/>
    <w:rsid w:val="00791AA1"/>
    <w:rsid w:val="00791CC9"/>
    <w:rsid w:val="00797018"/>
    <w:rsid w:val="007A3793"/>
    <w:rsid w:val="007A6D87"/>
    <w:rsid w:val="007A79B7"/>
    <w:rsid w:val="007B00D0"/>
    <w:rsid w:val="007B2048"/>
    <w:rsid w:val="007B34F5"/>
    <w:rsid w:val="007B7A1C"/>
    <w:rsid w:val="007C020A"/>
    <w:rsid w:val="007C1BA2"/>
    <w:rsid w:val="007C2091"/>
    <w:rsid w:val="007C3A67"/>
    <w:rsid w:val="007D20E9"/>
    <w:rsid w:val="007D7881"/>
    <w:rsid w:val="007D7B21"/>
    <w:rsid w:val="007D7E3A"/>
    <w:rsid w:val="007E032D"/>
    <w:rsid w:val="007E0E10"/>
    <w:rsid w:val="007E4768"/>
    <w:rsid w:val="007E5185"/>
    <w:rsid w:val="007E5BDD"/>
    <w:rsid w:val="007E777B"/>
    <w:rsid w:val="007F0649"/>
    <w:rsid w:val="007F0BE3"/>
    <w:rsid w:val="007F2070"/>
    <w:rsid w:val="007F3668"/>
    <w:rsid w:val="007F3DAC"/>
    <w:rsid w:val="008053F5"/>
    <w:rsid w:val="008068F6"/>
    <w:rsid w:val="00810198"/>
    <w:rsid w:val="0081311F"/>
    <w:rsid w:val="00815DA8"/>
    <w:rsid w:val="0082194D"/>
    <w:rsid w:val="00823E9A"/>
    <w:rsid w:val="0082542C"/>
    <w:rsid w:val="00826EF5"/>
    <w:rsid w:val="00831693"/>
    <w:rsid w:val="00831A37"/>
    <w:rsid w:val="00840104"/>
    <w:rsid w:val="00840D1C"/>
    <w:rsid w:val="00841FC5"/>
    <w:rsid w:val="00842482"/>
    <w:rsid w:val="00845709"/>
    <w:rsid w:val="0085122F"/>
    <w:rsid w:val="00856F7D"/>
    <w:rsid w:val="008576BD"/>
    <w:rsid w:val="00860463"/>
    <w:rsid w:val="008625EF"/>
    <w:rsid w:val="00872243"/>
    <w:rsid w:val="008733DA"/>
    <w:rsid w:val="008737BE"/>
    <w:rsid w:val="008850E4"/>
    <w:rsid w:val="00891B32"/>
    <w:rsid w:val="008A0723"/>
    <w:rsid w:val="008A12F5"/>
    <w:rsid w:val="008A20AB"/>
    <w:rsid w:val="008A288A"/>
    <w:rsid w:val="008B1587"/>
    <w:rsid w:val="008B1B01"/>
    <w:rsid w:val="008B2C77"/>
    <w:rsid w:val="008B3BCD"/>
    <w:rsid w:val="008B4841"/>
    <w:rsid w:val="008B5138"/>
    <w:rsid w:val="008B6DF8"/>
    <w:rsid w:val="008C106C"/>
    <w:rsid w:val="008C10F1"/>
    <w:rsid w:val="008C16E7"/>
    <w:rsid w:val="008C1E99"/>
    <w:rsid w:val="008D225F"/>
    <w:rsid w:val="008D40A8"/>
    <w:rsid w:val="008D642E"/>
    <w:rsid w:val="008E0085"/>
    <w:rsid w:val="008E2AA6"/>
    <w:rsid w:val="008E311B"/>
    <w:rsid w:val="008F3621"/>
    <w:rsid w:val="008F46E7"/>
    <w:rsid w:val="008F6F0B"/>
    <w:rsid w:val="00907BA7"/>
    <w:rsid w:val="00907EB4"/>
    <w:rsid w:val="0091064E"/>
    <w:rsid w:val="009112DE"/>
    <w:rsid w:val="00911FC5"/>
    <w:rsid w:val="0091330F"/>
    <w:rsid w:val="00914CB1"/>
    <w:rsid w:val="00915811"/>
    <w:rsid w:val="00920697"/>
    <w:rsid w:val="00930DF9"/>
    <w:rsid w:val="0093194D"/>
    <w:rsid w:val="00931A10"/>
    <w:rsid w:val="00933A57"/>
    <w:rsid w:val="00937CFC"/>
    <w:rsid w:val="00947967"/>
    <w:rsid w:val="00950E6B"/>
    <w:rsid w:val="00953ED7"/>
    <w:rsid w:val="00965200"/>
    <w:rsid w:val="00965FA2"/>
    <w:rsid w:val="009663EB"/>
    <w:rsid w:val="009668B3"/>
    <w:rsid w:val="00971471"/>
    <w:rsid w:val="009849C2"/>
    <w:rsid w:val="00984D24"/>
    <w:rsid w:val="009858EB"/>
    <w:rsid w:val="00985BCA"/>
    <w:rsid w:val="00987237"/>
    <w:rsid w:val="00987A8F"/>
    <w:rsid w:val="0099046A"/>
    <w:rsid w:val="00995B61"/>
    <w:rsid w:val="009A3995"/>
    <w:rsid w:val="009A3E4A"/>
    <w:rsid w:val="009B0046"/>
    <w:rsid w:val="009B027B"/>
    <w:rsid w:val="009B18C8"/>
    <w:rsid w:val="009B4868"/>
    <w:rsid w:val="009C1440"/>
    <w:rsid w:val="009C2107"/>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22BE"/>
    <w:rsid w:val="00A070D8"/>
    <w:rsid w:val="00A149E7"/>
    <w:rsid w:val="00A151B9"/>
    <w:rsid w:val="00A17EA9"/>
    <w:rsid w:val="00A231D3"/>
    <w:rsid w:val="00A24C95"/>
    <w:rsid w:val="00A26094"/>
    <w:rsid w:val="00A301BF"/>
    <w:rsid w:val="00A302B2"/>
    <w:rsid w:val="00A331B4"/>
    <w:rsid w:val="00A33FE2"/>
    <w:rsid w:val="00A3484E"/>
    <w:rsid w:val="00A34D14"/>
    <w:rsid w:val="00A36ADA"/>
    <w:rsid w:val="00A438D8"/>
    <w:rsid w:val="00A473F5"/>
    <w:rsid w:val="00A50416"/>
    <w:rsid w:val="00A5142A"/>
    <w:rsid w:val="00A51F9D"/>
    <w:rsid w:val="00A5416A"/>
    <w:rsid w:val="00A5502A"/>
    <w:rsid w:val="00A55461"/>
    <w:rsid w:val="00A61C1D"/>
    <w:rsid w:val="00A639F4"/>
    <w:rsid w:val="00A67EA9"/>
    <w:rsid w:val="00A80032"/>
    <w:rsid w:val="00A81A32"/>
    <w:rsid w:val="00A81A3B"/>
    <w:rsid w:val="00A835BD"/>
    <w:rsid w:val="00A87EB1"/>
    <w:rsid w:val="00A905CF"/>
    <w:rsid w:val="00A91AAD"/>
    <w:rsid w:val="00A95E5B"/>
    <w:rsid w:val="00A97B15"/>
    <w:rsid w:val="00AA42D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838"/>
    <w:rsid w:val="00AF7DB7"/>
    <w:rsid w:val="00B0023E"/>
    <w:rsid w:val="00B101D0"/>
    <w:rsid w:val="00B1135F"/>
    <w:rsid w:val="00B17A5C"/>
    <w:rsid w:val="00B20CB5"/>
    <w:rsid w:val="00B20FA7"/>
    <w:rsid w:val="00B251D3"/>
    <w:rsid w:val="00B31B5F"/>
    <w:rsid w:val="00B33C68"/>
    <w:rsid w:val="00B4137E"/>
    <w:rsid w:val="00B41F43"/>
    <w:rsid w:val="00B443E4"/>
    <w:rsid w:val="00B52165"/>
    <w:rsid w:val="00B5386B"/>
    <w:rsid w:val="00B553D5"/>
    <w:rsid w:val="00B563EA"/>
    <w:rsid w:val="00B571CB"/>
    <w:rsid w:val="00B576B4"/>
    <w:rsid w:val="00B60E51"/>
    <w:rsid w:val="00B63A54"/>
    <w:rsid w:val="00B65B9B"/>
    <w:rsid w:val="00B65CF6"/>
    <w:rsid w:val="00B70F07"/>
    <w:rsid w:val="00B749E2"/>
    <w:rsid w:val="00B77D18"/>
    <w:rsid w:val="00B8313A"/>
    <w:rsid w:val="00B8331B"/>
    <w:rsid w:val="00B83C6B"/>
    <w:rsid w:val="00B846B9"/>
    <w:rsid w:val="00B93503"/>
    <w:rsid w:val="00B95315"/>
    <w:rsid w:val="00B96D82"/>
    <w:rsid w:val="00BA2902"/>
    <w:rsid w:val="00BA31E8"/>
    <w:rsid w:val="00BA55E0"/>
    <w:rsid w:val="00BA6BD4"/>
    <w:rsid w:val="00BB2655"/>
    <w:rsid w:val="00BB344C"/>
    <w:rsid w:val="00BB3752"/>
    <w:rsid w:val="00BB6688"/>
    <w:rsid w:val="00BC17D0"/>
    <w:rsid w:val="00BC26D4"/>
    <w:rsid w:val="00BC64F2"/>
    <w:rsid w:val="00BC6ADD"/>
    <w:rsid w:val="00BD144E"/>
    <w:rsid w:val="00BD7D5D"/>
    <w:rsid w:val="00BF070B"/>
    <w:rsid w:val="00BF2A42"/>
    <w:rsid w:val="00BF3B84"/>
    <w:rsid w:val="00C03D8C"/>
    <w:rsid w:val="00C03FBB"/>
    <w:rsid w:val="00C055EC"/>
    <w:rsid w:val="00C060B4"/>
    <w:rsid w:val="00C07F4C"/>
    <w:rsid w:val="00C10DC9"/>
    <w:rsid w:val="00C11959"/>
    <w:rsid w:val="00C12FB3"/>
    <w:rsid w:val="00C13E99"/>
    <w:rsid w:val="00C17341"/>
    <w:rsid w:val="00C22201"/>
    <w:rsid w:val="00C2335D"/>
    <w:rsid w:val="00C24EEF"/>
    <w:rsid w:val="00C25699"/>
    <w:rsid w:val="00C25CF6"/>
    <w:rsid w:val="00C264F9"/>
    <w:rsid w:val="00C26C36"/>
    <w:rsid w:val="00C272B6"/>
    <w:rsid w:val="00C32768"/>
    <w:rsid w:val="00C40B2B"/>
    <w:rsid w:val="00C431DF"/>
    <w:rsid w:val="00C456BD"/>
    <w:rsid w:val="00C469A1"/>
    <w:rsid w:val="00C5203F"/>
    <w:rsid w:val="00C530DC"/>
    <w:rsid w:val="00C5350D"/>
    <w:rsid w:val="00C53BDC"/>
    <w:rsid w:val="00C548EC"/>
    <w:rsid w:val="00C6123C"/>
    <w:rsid w:val="00C645A7"/>
    <w:rsid w:val="00C7084D"/>
    <w:rsid w:val="00C7315E"/>
    <w:rsid w:val="00C73328"/>
    <w:rsid w:val="00C75895"/>
    <w:rsid w:val="00C7668A"/>
    <w:rsid w:val="00C80979"/>
    <w:rsid w:val="00C80A6E"/>
    <w:rsid w:val="00C83C9F"/>
    <w:rsid w:val="00C86866"/>
    <w:rsid w:val="00C87BBC"/>
    <w:rsid w:val="00C94840"/>
    <w:rsid w:val="00C965A4"/>
    <w:rsid w:val="00C967C3"/>
    <w:rsid w:val="00CA5F43"/>
    <w:rsid w:val="00CA6AC8"/>
    <w:rsid w:val="00CB027F"/>
    <w:rsid w:val="00CC0882"/>
    <w:rsid w:val="00CC11FC"/>
    <w:rsid w:val="00CC6297"/>
    <w:rsid w:val="00CC7690"/>
    <w:rsid w:val="00CC7A02"/>
    <w:rsid w:val="00CD1986"/>
    <w:rsid w:val="00CD4E70"/>
    <w:rsid w:val="00CE4D5C"/>
    <w:rsid w:val="00CE7603"/>
    <w:rsid w:val="00CF05DA"/>
    <w:rsid w:val="00CF3344"/>
    <w:rsid w:val="00CF3776"/>
    <w:rsid w:val="00CF4106"/>
    <w:rsid w:val="00CF58EB"/>
    <w:rsid w:val="00D0106E"/>
    <w:rsid w:val="00D032D6"/>
    <w:rsid w:val="00D04357"/>
    <w:rsid w:val="00D06383"/>
    <w:rsid w:val="00D07119"/>
    <w:rsid w:val="00D11F78"/>
    <w:rsid w:val="00D16756"/>
    <w:rsid w:val="00D202C8"/>
    <w:rsid w:val="00D20E85"/>
    <w:rsid w:val="00D2101C"/>
    <w:rsid w:val="00D24615"/>
    <w:rsid w:val="00D27557"/>
    <w:rsid w:val="00D347E5"/>
    <w:rsid w:val="00D37842"/>
    <w:rsid w:val="00D40D5F"/>
    <w:rsid w:val="00D42DC2"/>
    <w:rsid w:val="00D43EAE"/>
    <w:rsid w:val="00D47CCF"/>
    <w:rsid w:val="00D537E1"/>
    <w:rsid w:val="00D55BB2"/>
    <w:rsid w:val="00D57F20"/>
    <w:rsid w:val="00D6091A"/>
    <w:rsid w:val="00D6695F"/>
    <w:rsid w:val="00D711D3"/>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6462"/>
    <w:rsid w:val="00E02C46"/>
    <w:rsid w:val="00E02FA0"/>
    <w:rsid w:val="00E036DC"/>
    <w:rsid w:val="00E10454"/>
    <w:rsid w:val="00E11132"/>
    <w:rsid w:val="00E112E5"/>
    <w:rsid w:val="00E21CC7"/>
    <w:rsid w:val="00E221E2"/>
    <w:rsid w:val="00E24C56"/>
    <w:rsid w:val="00E24D9E"/>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147F"/>
    <w:rsid w:val="00EB5A05"/>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32679"/>
    <w:rsid w:val="00F351F7"/>
    <w:rsid w:val="00F360C3"/>
    <w:rsid w:val="00F362D7"/>
    <w:rsid w:val="00F37A74"/>
    <w:rsid w:val="00F37D7B"/>
    <w:rsid w:val="00F50631"/>
    <w:rsid w:val="00F52D7B"/>
    <w:rsid w:val="00F5314C"/>
    <w:rsid w:val="00F635DD"/>
    <w:rsid w:val="00F65F6F"/>
    <w:rsid w:val="00F6627B"/>
    <w:rsid w:val="00F71533"/>
    <w:rsid w:val="00F734F2"/>
    <w:rsid w:val="00F73F3E"/>
    <w:rsid w:val="00F75052"/>
    <w:rsid w:val="00F804D3"/>
    <w:rsid w:val="00F81CD2"/>
    <w:rsid w:val="00F82641"/>
    <w:rsid w:val="00F8343D"/>
    <w:rsid w:val="00F85A3F"/>
    <w:rsid w:val="00F87EE5"/>
    <w:rsid w:val="00F90F18"/>
    <w:rsid w:val="00F937E4"/>
    <w:rsid w:val="00F941C5"/>
    <w:rsid w:val="00F95ADD"/>
    <w:rsid w:val="00F95EE7"/>
    <w:rsid w:val="00F96D8A"/>
    <w:rsid w:val="00FA2E0E"/>
    <w:rsid w:val="00FA2F9E"/>
    <w:rsid w:val="00FA39E6"/>
    <w:rsid w:val="00FA3BE6"/>
    <w:rsid w:val="00FA754E"/>
    <w:rsid w:val="00FA7BC9"/>
    <w:rsid w:val="00FB378E"/>
    <w:rsid w:val="00FB37F1"/>
    <w:rsid w:val="00FB47C0"/>
    <w:rsid w:val="00FB501B"/>
    <w:rsid w:val="00FB7770"/>
    <w:rsid w:val="00FC7F95"/>
    <w:rsid w:val="00FD021A"/>
    <w:rsid w:val="00FD21B0"/>
    <w:rsid w:val="00FD3B91"/>
    <w:rsid w:val="00FD576B"/>
    <w:rsid w:val="00FD579E"/>
    <w:rsid w:val="00FE2300"/>
    <w:rsid w:val="00FE2879"/>
    <w:rsid w:val="00FE4516"/>
    <w:rsid w:val="00FE4757"/>
    <w:rsid w:val="00FE799B"/>
    <w:rsid w:val="00FF61F2"/>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uiPriority w:val="9"/>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uiPriority w:val="9"/>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1"/>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customStyle="1" w:styleId="55">
    <w:name w:val="未解析的提及項目5"/>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D1A1-8F99-48B3-A9BF-885013FF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2022-09-26T09:08:00Z</dcterms:created>
  <dcterms:modified xsi:type="dcterms:W3CDTF">2022-09-26T09:08:00Z</dcterms:modified>
</cp:coreProperties>
</file>